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432/2007 vom 28. März 2008</w:t>
      </w:r>
    </w:p>
    <w:p>
      <w:r>
        <w:t>Bundesgericht, 2008-03-28, FR</w:t>
      </w:r>
    </w:p>
    <w:p>
      <w:r>
        <w:rPr>
          <w:b/>
        </w:rPr>
        <w:t xml:space="preserve">Quelle: </w:t>
      </w:r>
      <w:r>
        <w:t>https://mcp.opencaselaw.ch/entscheid/bger_8C_432_2007</w:t>
      </w:r>
    </w:p>
    <w:p>
      <w:r>
        <w:t>FR: TF 8C 432/2007 du 28 mars 2008</w:t>
      </w:r>
    </w:p>
    <w:p>
      <w:r>
        <w:t>IT: TF 8C 432/2007 del 28 marzo 2008</w:t>
      </w:r>
    </w:p>
    <w:p>
      <w:pPr>
        <w:pStyle w:val="Heading2"/>
      </w:pPr>
      <w:r>
        <w:t>Regeste</w:t>
      </w:r>
    </w:p>
    <w:p>
      <w:r>
        <w:t>Assurance-accidents | Assurance-accidents</w:t>
      </w:r>
    </w:p>
    <w:p>
      <w:pPr>
        <w:pStyle w:val="Heading2"/>
      </w:pPr>
      <w:r>
        <w:t>Erwägungen</w:t>
      </w:r>
    </w:p>
    <w:p>
      <w:r>
        <w:rPr>
          <w:b/>
        </w:rPr>
        <w:t>E. 1</w:t>
      </w:r>
    </w:p>
    <w:p>
      <w:r>
        <w:t>Le recourant conclut à la prise en charge par l'intimée des frais médicaux et de médicaments pour des troubles qu'il considère comme une rechute ou des séquelles tardives de l'accident du 5 juin 1990, soit la prise en charge de prestations en nature de l'assurance-accidents.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La constatation de l'atteinte à la santé (diagnostic, pronostic, etc.) et l'évaluation de la capacité de travail (résiduelle) sont en principe des questions de fait ( ATF 132 V 393 consid. 3.2 p. 397). Il en est de même de l'appréciation concrète des preuves. En revanche, l'application du principe inquisitoire et des règles sur l'appréciation des preuves au sens de l' art. 61 let . c LPGA relève du droit ( ATF 132 V 393 consid. 3.2 et 4 p. 397 ss; arrêt 8C_172/2007 du 6 février 2008, consid. 2.3).</w:t>
      </w:r>
    </w:p>
    <w:p>
      <w:r>
        <w:rPr>
          <w:b/>
        </w:rPr>
        <w:t>E. 2</w:t>
      </w:r>
    </w:p>
    <w:p>
      <w:r>
        <w:t>Le litige porte sur le point de savoir si le recourant a droit à la prise en charge du traitement médical pour des lombalgies, une lésion méniscale au genou gauche et une hypotrophie musculaire de la cuisse et du mollet gauches.</w:t>
      </w:r>
    </w:p>
    <w:p>
      <w:r>
        <w:rPr>
          <w:b/>
        </w:rPr>
        <w:t>E. 3.1</w:t>
      </w:r>
    </w:p>
    <w:p>
      <w:r>
        <w:t>La loi fédérale sur la partie générale du droit des assurances sociales du 6 octobre 2000 (LPGA) est entrée en vigueur le 1er janvier 2003, entraînant la modification de nombreuses dispositions légales dans le domaine de l'assurance-accidents. Par sa décision du 12 avril 2002, confirmée sur opposition le 29 mai suivant, la CNA a refusé de prendre en charge le traitement médical pour les lombalgies annoncées le 4 février 2002. La décision sur opposition est entrée en force, de sorte que le trouble en question ne peut éventuellement ouvrir droit à la prise en charge d'un traitement médical que postérieurement au mois de mai 2002. Dès lors, il convient, en vertu des principes généraux en matière de droit intertemporel, d'examiner la cause à la lumière de l'ancien droit en ce qui concerne la période précédant le 1er janvier 2003 et à l'aune de la LPGA et de ses dispositions d'exécution pour la période ultérieure ( ATF 130 V 329 , 445).</w:t>
      </w:r>
    </w:p>
    <w:p>
      <w:r>
        <w:rPr>
          <w:b/>
        </w:rPr>
        <w:t>E. 3.2.1</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3.2.2</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 ATF 123 V 137 consid. 3a p. 138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 1c).</w:t>
      </w:r>
    </w:p>
    <w:p>
      <w:r>
        <w:rPr>
          <w:b/>
        </w:rPr>
        <w:t>E. 4.1</w:t>
      </w:r>
    </w:p>
    <w:p>
      <w:r>
        <w:t>Le recourant demande que la Cour de céans prenne en considération le rapport du professeur G.________ (du 22 mars 2007), produit en première instance postérieurement à la clôture de l'échange d'écritures et écarté d'emblée par la juridiction cantonale. Il fait valoir que cet avis médical constitue un fait récent, en relation avec ses troubles actuels, ainsi qu'un complément utile pour éclaircir les faits de la cause. Ce rapport médical ne peut toutefois pas être pris en considération par la Cour de céans, dès lors qu'en principe, un moyen de preuve qui n'a pas été examiné dans la procédure devant l'autorité précédente n'est pas admissible dans la procédure devant le Tribunal fédéral ( art. 99 al. 1 LTF ).</w:t>
      </w:r>
    </w:p>
    <w:p>
      <w:r>
        <w:rPr>
          <w:b/>
        </w:rPr>
        <w:t>E. 4.2</w:t>
      </w:r>
    </w:p>
    <w:p>
      <w:r>
        <w:t>Par ailleurs, si l'on devait interpréter la demande du recourant comme un reproche adressé implicitement à la juridiction cantonale pour avoir écarté d'emblée le rapport médical en question, ce grief ne serait pas admissible.</w:t>
      </w:r>
    </w:p>
    <w:p>
      <w:r>
        <w:rPr>
          <w:b/>
        </w:rPr>
        <w:t>E. 4.2.1</w:t>
      </w:r>
    </w:p>
    <w:p>
      <w:r>
        <w:t>L' art. 61 LPGA , qui fixe les exigences minimales auxquelles doit satisfaire la procédure devant les tribunaux cantonaux des assurances ne règle pas le point de savoir si et, le cas échéant, jusqu'à quand les parties peuvent produire des pièces nouvelles après l'échéance du délai de recours. Ce point peut toutefois être réglé par le droit cantonal. En l'occurrence, l'art. 48 de la loi cantonale valaisanne sur la procédure et la juridiction administratives du 6 octobre 1976 (LPJA) dispose que le mémoire de recours contient un exposé concis des faits, des motifs accompagnés des moyens de preuve, ainsi que des conclusions (al. 2, 1ère phrase); la décision attaquée et les documents servant de moyens de preuve, en possession du recourant, sont joints au mémoire (al. 3).</w:t>
      </w:r>
    </w:p>
    <w:p>
      <w:r>
        <w:rPr>
          <w:b/>
        </w:rPr>
        <w:t>E. 4.2.2</w:t>
      </w:r>
    </w:p>
    <w:p>
      <w:r>
        <w:t>Le recourant qui se plaint de la violation de droits fondamentaux ou de dispositions de droit cantonal doit, comme sous l'empire de l' art. 90 al. 1 let. b OJ , satisfaire au principe d'allégation, soit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manière claire et détaillée. En l'occurrence, le grief - en admettant qu'il ait été soulevé de manière implicite - touchant au refus de la juridiction cantonale de prendre en compte le rapport du professeur G.________ concerne le droit cantonal, dont la violation ne peut pas être directement invoquée au regard de la loi fédérale sur le Tribunal fédéral ( art. 95 LTF a contrario). Dès lors, seul le grief d'arbitraire ( art. 9 Cst. ) pourrait être examiné. Toutefois, dans la mesure où il n'est pas invoqué ni motivé conformément au principe d'allégation, le grief en question ne serait pas admissible.</w:t>
      </w:r>
    </w:p>
    <w:p>
      <w:r>
        <w:rPr>
          <w:b/>
        </w:rPr>
        <w:t>E. 5</w:t>
      </w:r>
    </w:p>
    <w:p>
      <w:r>
        <w:t>Faisant siennes les conclusions du docteur P.________ (rapport du 16 décembre 2005), la juridiction cantonale a constaté qu'il n'existait pas de lésions radiculaires consécutives à la fracture de L1 provoquée par l'accident et que les investigations mises en oeuvre en 1992 et 1993 n'avaient pas décelé d'instabilité au genou gauche. Ces constatations lient le Tribunal fédéral (cf. consid. 1). Au demeurant, elles ne sont pas contestées par le recourant. Dès lors, il n'y a pas de motif de mettre en cause la conclusion des premiers juges, selon laquelle un lien de causalité naturelle entre la lésion méniscale au genou gauche, apparue quatorze ans après l'accident, et cet événement est seulement possible. Or, cela n'est pas suffisant pour établir l'existence d'un tel lien conformément à la règle du degré de vraisemblance prépondérante appliquée généralement à l'appréciation des preuves en matière d'assurance sociale. En effet, lorsque l'existence d'un rapport de cause à effet entre un accident et un dommage paraît possible, mais qu'elle ne peut pas être qualifiée de probable dans le cas particulier, le droit à des prestations fondées sur l'accident assuré doit être nié ( ATF 129 V 177 consid. 3.1 p. 181, 119 V 335 consid. 1 p. 338, et les références). Par ailleurs, les premiers juges ont constaté que l'atrophie du membre inférieur gauche n'était pas sensiblement marquée par rapport au membre inférieur droit au cours des trois années qui ont suivi l'accident. De cette constatation de fait - sur laquelle il n'y a pas de motif de revenir - la juridiction cantonale infère qu'une relation de causalité naturelle entre l'hypotrophie musculaire de la cuisse et du mollet gauches et l'accident n'apparaît pas probable. Dès lors, ajoutent les premiers juges, si elles découlent à la fois de troubles d'origine dégénérative et de l'hypotrophie musculaire, les lombalgies n'apparaissent pas non plus en relation de causalité naturelle avec l'accident. Cet avis n'est pas critiquable et il y a lieu d'admettre, sans qu'il soit nécessaire de trancher la question de la causalité adéquate, que le recourant n'a pas droit à la prise en charge par l'intimée du traitement médical pour ses lombalgies, pour la lésion méniscale au genou gauche, ainsi que pour l'hypotrophie musculaire de la cuisse et du mollet gauches. Le jugement entrepris n'est dès lors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