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431/2015 vom 22. September 2015</w:t>
      </w:r>
    </w:p>
    <w:p>
      <w:r>
        <w:t>Bundesgericht, 2015-09-22, DE</w:t>
      </w:r>
    </w:p>
    <w:p>
      <w:r>
        <w:rPr>
          <w:b/>
        </w:rPr>
        <w:t xml:space="preserve">Quelle: </w:t>
      </w:r>
      <w:r>
        <w:t>https://mcp.opencaselaw.ch/entscheid/bger_8C_431_2015</w:t>
      </w:r>
    </w:p>
    <w:p>
      <w:r>
        <w:t>FR: TF 8C 431/2015 du 22 septembre 2015</w:t>
      </w:r>
    </w:p>
    <w:p>
      <w:r>
        <w:t>IT: TF 8C 431/2015 del 22 settembre 2015</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Beschwerdegegnerin zu Recht ihre Leistungen per 30. November 2010 eingestellt hat.</w:t>
      </w:r>
    </w:p>
    <w:p>
      <w:r>
        <w:rPr>
          <w:b/>
        </w:rPr>
        <w:t>E. 3.1</w:t>
      </w:r>
    </w:p>
    <w:p>
      <w:r>
        <w:t>Ist eine versicherte Person infolge des Unfalles mindestens zu 10 Prozent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w:t>
      </w:r>
    </w:p>
    <w:p>
      <w:r>
        <w:rPr>
          <w:b/>
        </w:rPr>
        <w:t>E. 3.2</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353 E. 5b S. 360; 125 V 193 E. 2 S. 195; vgl. BGE 130 III 321 E. 3.2 und 3.3 S. 324 f.).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221). Nach diesen allgemeinen Regeln obliegt es somit grundsätzlich dem Versicherungsträger, eine erhebliche Änderung des Invaliditätsgrades nachzuweisen, wenn er eine Rente reduzieren oder aufheben will (vgl. SVR 2013 UV Nr. 6 S. 21, 8C_110/2012 E. 2 mit weiteren Hinweisen).</w:t>
      </w:r>
    </w:p>
    <w:p>
      <w:r>
        <w:rPr>
          <w:b/>
        </w:rPr>
        <w:t>E. 3.3</w:t>
      </w:r>
    </w:p>
    <w:p>
      <w:r>
        <w:t>Ausnahmen von diesem Grundsatz ergeben sich dort, wo die versicherte Person ihre Mitwirkung verweigert. Art. 28 Abs. 2 ATSG verpflichtet diese, unentgeltlich Auskünfte zu erteilen, die zur Abklärung des Anspruchs und zur Festsetzung der Versicherungsleistungen erforderlich sind. Für den Bereich der Unfallversicherung wird diese Mitwirkungspflicht in Art. 55 Abs. 1 UVV (SR 832.202) dahingehend präzisiert, dass die versicherte Person alle erforderlichen Auskünfte erteilen und ausserdem die Unterlagen zur Verfügung halten muss, die für die Klärung des Unfallsachverhaltes und die Unfallfolgen sowie für die Festsetzung der Versicherungsleistungen benötigt werden, insbesondere medizinische Berichte, Gutachten, Röntgenbilder und Belege über die Verdienstverhältnisse; sie muss Dritte ermächtigen, solche Unterlagen herauszugeben und Auskunft zu erteilen. Art. 43 Abs. 3 ATSG sieht sodann vor, dass wenn die versicherte Person oder andere Personen, die Leistungen beanspruchen, den Auskunfts- oder Mitwirkungspflichten in unentschuldbarer Weise nicht nachkommen, der Versicherungsträger aufgrund der Akten verfügen oder die Erhebungen einstellen und Nichteintreten beschliessen kann. Er muss die Personen vorher schriftlich mahnen und auf die Rechtsfolgen hinweisen; ihnen ist eine angemessene Bedenkzeit einzuräumen. Verweigert die versicherte Person in unentschuldbarer Weise ihre Auskunfts- und Mitwirkungspflicht, indem sie den Unfallversicherer bei laufenden Rentenleistungen daran hindert, den rechtserheblichen Sachverhalt festzustellen, wird die Beweislast umgekehrt, indem die versicherte Person nachzuweisen hat, dass sich entscheidwesentliche Umstände nicht in einem den Invaliditätsgrad beeinflussenden Ausmass verändert haben (SVR 2013 UV Nr. 6 S. 21, 8C_110/2012 E. 2; SVR 2010 IV Nr. 30 S. 94, 9C_961/2008 E. 6.3.3).</w:t>
      </w:r>
    </w:p>
    <w:p>
      <w:r>
        <w:rPr>
          <w:b/>
        </w:rPr>
        <w:t>E. 4</w:t>
      </w:r>
    </w:p>
    <w:p>
      <w:r>
        <w:t>Das kantonale Gericht hat erwogen, aufgrund der durch die Observation der Versicherten erzielten Erkenntnisse gebe es begründeten Anlass zur Annahme, dass sich der Gesundheitszustand der Versicherten in der Zeit zwischen der rentenzusprechenden Verfügung vom 24. März 2005 und der rentenaufhebenden Verfügung vom 30. November 2010 erheblich verbessert haben und damit ein Revisionsgrund im Sinne von Art. 17 ATSG vorliegen könnte. Alleine aufgrund der vorliegenden Akten lasse sich ein solcher Revisionsgrund aber weder schlüssig bejahen noch schlüssig verneinen. Die Beschwerdeführerin bringt nichts vor, was zu einer abweichenden Würdigung der Akten führen würde.</w:t>
      </w:r>
    </w:p>
    <w:p>
      <w:r>
        <w:rPr>
          <w:b/>
        </w:rPr>
        <w:t>E. 5</w:t>
      </w:r>
    </w:p>
    <w:p>
      <w:r>
        <w:t>Gemäss den vorinstanzlichen Erwägungen hat die Beschwerdeführerin vorliegend die Beweislosigkeit zu vertreten und in Umkehr der Beweislast deren Folgen zu tragen, da sie sich trotz Aufforderung geweigert habe, an der von der Beschwerdegegnerin angeordneten Abklärungsmassnahme beim Medizinischen Zentrum C.________ mitzuwirken.</w:t>
      </w:r>
    </w:p>
    <w:p>
      <w:r>
        <w:rPr>
          <w:b/>
        </w:rPr>
        <w:t>E. 5.1</w:t>
      </w:r>
    </w:p>
    <w:p>
      <w:r>
        <w:t>Entgegen den Vorbringen der Beschwerdeführerin sind keine Gründe ersichtlich, weshalb ihr die Mitwirkung an der Begutachtung durch das Medizinische Zentrum C.________ unzumutbar gewesen wäre. Insbesondere kann aus dem Umstand, dass das Medizinische Zentrum C.________ sich bereit erklärt hat, ein Aktengutachten zu erstellen, keinen Anschein der Befangenheit der Gutachterstelle abgeleitet werden.</w:t>
      </w:r>
    </w:p>
    <w:p>
      <w:r>
        <w:rPr>
          <w:b/>
        </w:rPr>
        <w:t>E. 5.2</w:t>
      </w:r>
    </w:p>
    <w:p>
      <w:r>
        <w:t>Nachdem das kantonale Gericht mit Entscheid vom 7. Mai 2012 eine Beschwerde der Versicherten gegen die Anordnung der Begutachtung durch das Medizinische Zentrum C.________ abgewiesen hatte, teilte das Medizinische Zentrum C.________ der Versicherten am 21. September 2012 mit, die persönliche Exploration sei für den Spätherbst (vorgesehene Termine: 30. Oktober, 7. November und 26. November 2012) geplant. Daraufhin antwortete die Beschwerdeführerin am 28. September 2012 die Gutachtenstermine in jenem Jahr nicht wahrnehmen, sich aber allenfalls zu einem späteren Zeitpunkt einer Begutachtung durch das Medizinische Zentrum C.________ "wohl oder übel" stellen zu wollen. Auf die förmliche Eröffnung des Mahn- und Bedenkzeitverfahrens durch die Allianz am 8. Oktober 2012 antwortete die Versicherte am 25. Oktober 2012 per Fax mit einem blossen "z.H. Medizinisches Zentrum C.________ -&gt; Termine absagen, bitte". Aus diesem Schriftenwechsel schloss die Vorinstanz zu Recht, die Beschwerdeführerin habe die Mitwirkung an einer ihr zumutbaren Abklärungsmassnahme verweigert. An diesem Schluss ändert auch der Umstand nichts, dass die Versicherte in Aussicht stellte, ihre Widersetzlichkeit allenfalls zu einem späteren Zeitpunkt aufgeben zu wollen.</w:t>
      </w:r>
    </w:p>
    <w:p>
      <w:r>
        <w:rPr>
          <w:b/>
        </w:rPr>
        <w:t>E. 5.3</w:t>
      </w:r>
    </w:p>
    <w:p>
      <w:r>
        <w:t>Hat die Beschwerdeführerin demnach ihre Mitwirkung an einer zumutbaren Abklärungsmassnahme verweigert, so ist die gestützt auf eine Umkehr der Beweislast erfolgte Bestätigung der Rentenaufhebung durch die Vorinstanz nicht zu beanstanden; die Beschwerde der Versicherten ist abzuweisen. Zur Befürchtung der Beschwerdeführerin, die Leistungen seien unwiderruflich weggefallen, ist indessen an die Rechtsprechung zu erinnern, wonach der Leistungsanspruch neu geprüft wird, wenn die versicherte Person ihre Widersetzlichkeit aufgibt und sich die Sanktion (Umkehr der Beweislast) somit nur während jener Zeitspanne auswirkt, in der sich die versicherte Person einer Zusammenarbeit mit der von der Beschwerdegegnerin bezeichneten Gutachterstelle verweigert (vgl. Urteil 8C_733/2010 vom 10. Dezember 2010 E. 5.6 mit weiteren Hinweisen).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