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8C_431/2012 vom 12. Dezember 2012</w:t>
      </w:r>
    </w:p>
    <w:p>
      <w:r>
        <w:t>Bundesgericht, 2012-12-12, DE</w:t>
      </w:r>
    </w:p>
    <w:p>
      <w:r>
        <w:rPr>
          <w:b/>
        </w:rPr>
        <w:t xml:space="preserve">Quelle: </w:t>
      </w:r>
      <w:r>
        <w:t>https://mcp.opencaselaw.ch/entscheid/bger_8C_431_2012</w:t>
      </w:r>
    </w:p>
    <w:p>
      <w:r>
        <w:t>FR: TF 8C_431/2012 du 12 décembre 2012</w:t>
      </w:r>
    </w:p>
    <w:p>
      <w:r>
        <w:t>IT: TF 8C_431/2012 del 12 dicembre 2012</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 Auf rein appellatorische Kritik am angefochtenen Entscheid tritt es nicht ein ( BGE 134 II 244 E. 2.2 S. 246).</w:t>
      </w:r>
    </w:p>
    <w:p>
      <w:r>
        <w:rPr>
          <w:b/>
        </w:rPr>
        <w:t>E. 1.2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vergleichbar mit den in Art. 106 Abs. 2 BGG genannten Rügen.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Vorbehalten bleiben offensichtliche Sachverhaltsmängel im Sinne von Art. 105 Abs. 2 BGG , die dem Richter geradezu in die Augen springen ( BGE 133 IV 286 E. 6.2 S. 288; 133 II 249 E. 1.4.3 S. 255).</w:t>
      </w:r>
    </w:p>
    <w:p>
      <w:r>
        <w:t>Die Beweiswürdigung im Allgemeinen, einschliesslich die Würdigung von Indizien und fallbezogene Wahrscheinlichkeitsüberlegungen, betreffen Tatfragen, die das Bundesgericht lediglich auf offensichtliche Unrichtigkeit und Rechtsfehlerhaftigkeit hin zu überprüfen befugt ist ( Art. 105 Abs. 2 BGG ). Blosse Zweifel an der Richtigkeit der vorinstanzlichen Sachverhaltsfeststellung ändern an deren Verbindlichkeitswirkung gemäss Art. 105 Abs. 1 BGG nichts (vgl. etwa Urteil 8C_831/2008 vom 29. Mai 2009 E. 2.3 und Urteil 9C_539/2007 vom 31. Januar 2008 E. 2.2.2, je mit Hinweisen).</w:t>
      </w:r>
    </w:p>
    <w:p>
      <w:r>
        <w:rPr>
          <w:b/>
        </w:rPr>
        <w:t>E. 2</w:t>
      </w:r>
    </w:p>
    <w:p>
      <w:r>
        <w:t>Die Vorinstanz hat die Bestimmungen und Grundsätze über die Leistungsvoraussetzungen zur Ausrichtung von Arbeitslosenentschädigungen ( Art. 8 ff. AVIG ), namentlich die Vermittlungsfähigkeit ( Art. 15 AVIG ; BGE 125 V 51 E. 6a S. 58, 120 V 385 E. 2 S. 387 und E. 3 S. 388), zutreffend dargelegt. Darauf wird verwiesen.</w:t>
      </w:r>
    </w:p>
    <w:p>
      <w:r>
        <w:rPr>
          <w:b/>
        </w:rPr>
        <w:t>E. 3</w:t>
      </w:r>
    </w:p>
    <w:p>
      <w:r>
        <w:t>Streitig und zu prüfen ist die Vermittlungsfähigkeit des Versicherten, namentlich die Voraussetzung des "in der Lage sein", für die Zeit vom 13. April bis 9. November 2011 (Mitteilung des negativen Prüfungsentscheids; vgl. dazu E. 2 des angefochtenen Entscheids).</w:t>
      </w:r>
    </w:p>
    <w:p>
      <w:r>
        <w:rPr>
          <w:b/>
        </w:rPr>
        <w:t>E. 4.1</w:t>
      </w:r>
    </w:p>
    <w:p>
      <w:r>
        <w:t>Die Vorinstanz begründet die Verneinung der Vermittlungsfähigkeit damit, dass die Vorbereitungen auf Anwaltsprüfungen nach Angaben des Sekretärs der Anwaltsprüfungskommission in der Regel einen zeitlichen Umfang einer Vollzeitstelle während durchschnittlich sechs Monaten beanspruchen würden, so dass lediglich eine Erwerbstätigkeit im Rahmen einer ein volles Pensum überschreitenden Tätigkeit denkbar wäre, die Arbeitslosenversicherung aber nicht dazu diene, ein Pensum von mehr als 100 % zu entschädigen, sondern sich auf normale Arbeitnehmertätigkeiten beschränke.</w:t>
      </w:r>
    </w:p>
    <w:p>
      <w:r>
        <w:rPr>
          <w:b/>
        </w:rPr>
        <w:t>E. 4.2</w:t>
      </w:r>
    </w:p>
    <w:p>
      <w:r>
        <w:t>Es sind keine Anhaltspunkte ersichtlich, welche auf eine offensichtlich unrichtige - mithin willkürliche (vgl. E. 1.2) - Sachverhaltsfeststellung der Vorinstanz schliessen liessen. Namentlich legt der Versicherte nicht in rechtsgenüglicher Weise dar, inwiefern die Annahme einer durchschnittlich sechsmonatigen Vorbereitungszeit auf die Anwaltsprüfungen im Rahmen einer vollzeitlichen Erwerbstätigkeit willkürlich sein soll. Zutreffend ist einzig, dass im vorinstanzlichen Entscheid nicht erwähnt wird, dass sich seine Suchbemühungen nicht nur auf Voll-, sondern auch auf Teilzeitstellen erstreckten; dieser Umstand ändert jedoch nichts an der rechtlichen Beurteilung, da er gemäss seinem Antrag auf Arbeitslosenentschädigung eine Vollzeitstelle gesucht hatte, für diese aber nicht vermittlungsfähig war.</w:t>
      </w:r>
    </w:p>
    <w:p>
      <w:r>
        <w:t>Weiter ist nicht zu beanstanden, dass die Vorinstanz die durchschnittlich sechsmonatige Prüfungsvorbereitungszeit erst vom Moment der Beendigung des letzten Volontariats (8. April 2011) resp. der Anmeldung zum Leistungsbezug (13. April 2011) an rechnete anstatt bereits vom Zeitpunkt der Anmeldung zu den Prüfungen (5. Februar 2011). Denn es ist nicht davon auszugehen, dass nebst der bis 8. April 2011 vollzeitlichen Arbeitstätigkeit noch in wesentlichem Umfang eine Prüfungsvorbereitung möglich war; die Arbeitslosenversicherung deckt indessen Ausfälle aus einer ein volles Pensum übersteigenden Tätigkeit nicht ab (vgl. Urteil 8C_854/2009 vom 1. Dezember 2009 mit Hinweis auf BGE 129 V 105 E. 2 S. 107). Aus diesem Grund vermag auch der Einwand, der Versicherte hätte für die Ablegung der Prüfungen - soweit sie nicht an einem Samstag angesetzt waren - Ferien beziehen können, nicht durchzudringen.</w:t>
      </w:r>
    </w:p>
    <w:p>
      <w:r>
        <w:t>Der Versicherte kann aus der Tatsache, dass seine Vermittlungsfähigkeit im Jahr zuvor anerkannt wurde, obwohl er zwischen zwei Volontariaten nur während zwei Monaten der Arbeitsvermittlung zur Verfügung stand, nichts zu seinen Gunsten ableiten. Denn die damalige Situation unterscheidet sich von der hier zu beurteilenden dadurch, dass er 2011 die Anwaltsprüfungen vorbereitete, im Jahr 2010 jedoch nebst der anvisierten Stelle keine anderweitige Betätigung aufwies; in diesem Sinne konnte der Versicherte 2011 nicht frei disponieren, sondern seine Ressourcen waren zu einem wesentlichen Teil durch die Prüfungsvorbereitungen gebunden.</w:t>
      </w:r>
    </w:p>
    <w:p>
      <w:r>
        <w:t>Schliesslich kann dem Antrag des Versicherten, die Arbeitslosenversicherung habe ihm Taggelder zuzusprechen, damit er wenigstens seine Schulden bei der Sozialhilfe tilgen könne, nicht gefolgt werden. Die Arbeitslosenversicherung dient grundsätzlich dem Ersatz von ausgefallenem Erwerb infolge Arbeitslosigkeit, Kurzarbeit oder Insolvenz des Arbeitgebers und nicht infolge Ausbildung resp. zur Finanzierung von Prüfungsvorbereitungen. Sie beteiligt sich ausnahmsweise an den Kosten einer Ausbildung; dies bedingt aber, dass sie schon vor Beginn der Ausbildung kontaktiert wird und im Einzelfall prüfen kann, inwiefern die geplante Ausbildung aus wirtschaftlichen Gründen notwendig ist (arbeitsmarktliche Massnahmen; Art. 59 ff. AVIG ).</w:t>
      </w:r>
    </w:p>
    <w:p>
      <w:r>
        <w:rPr>
          <w:b/>
        </w:rPr>
        <w:t>E. 4.3</w:t>
      </w:r>
    </w:p>
    <w:p>
      <w:r>
        <w:t>Im Übrigen stimmen die Ausführungen mit jenen in der Beschwerde an die Vorinstanz praktisch wortwörtlich überein, so dass sich seine Einwände in appellatorischer Kritik erschöpfen, auf die - mangels Auseinandersetzung mit dem vorinstanzlichen Entscheid - nicht weiter einzugehen ist.</w:t>
      </w:r>
    </w:p>
    <w:p>
      <w:r>
        <w:rPr>
          <w:b/>
        </w:rPr>
        <w:t>E. 5</w:t>
      </w:r>
    </w:p>
    <w:p>
      <w:r>
        <w:t>Dem Verfahrensausgang entsprechend sind die Gerichtskosten vom Beschwerdeführer als unterliegender Partei zu tragen ( Art. 66 Abs. 1 BGG ). Ihm kann indessen die unentgeltliche Prozessführung gewährt werden ( Art. 64 BGG ), weil die Bedürftigkeit aktenkundig und die Beschwerde nicht als aussichtslos zu bezeichnen ist (vgl. BGE 125 V 201 E. 4a S. 202 und 371 E. 5b S. 372). Es ist indessen auf Art. 64 Abs. 4 BGG hinzuweisen, wonach der Gerichtskasse Ersatz zu leisten sein wird, wenn dies später möglich sein sollte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