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8C_42/2025 vom 30. Januar 2025</w:t>
      </w:r>
    </w:p>
    <w:p>
      <w:r>
        <w:t>Bundesgericht, 2025-01-30, DE</w:t>
      </w:r>
    </w:p>
    <w:p>
      <w:r>
        <w:rPr>
          <w:b/>
        </w:rPr>
        <w:t xml:space="preserve">Quelle: </w:t>
      </w:r>
      <w:r>
        <w:t>https://mcp.opencaselaw.ch/entscheid/bger_8C_42_2025</w:t>
      </w:r>
    </w:p>
    <w:p>
      <w:r>
        <w:t>FR: TF 8C_42/2025 du 30 janvier 2025</w:t>
      </w:r>
    </w:p>
    <w:p>
      <w:r>
        <w:t>IT: TF 8C_42/2025 del 30 gennaio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Einzig wenn sich der Streit um die Zusprechung oder Verweigerung von Geldleistungen der Militär- oder Unfallversicherung dreht, kann darüber hinaus jede unrichtige oder unvollständige Feststellung des rechtserheblichen Sachverhalts gerügt werden ( Art. 97 Abs. 2 BGG ). Vorliegend steht indessen allein der Beitragsstatus im Streit, womit ausschliesslich Art. 97 Abs. 1 BGG zur Anwendung gelangt.</w:t>
      </w:r>
    </w:p>
    <w:p>
      <w:r>
        <w:rPr>
          <w:b/>
        </w:rPr>
        <w:t>E. 2</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3</w:t>
      </w:r>
    </w:p>
    <w:p>
      <w:r>
        <w:t>Die Vorinstanz bestätigte mit Urteil vom 28. November 2024 revisionsweise den Einspracheentscheid der Beschwerdegegnerin vom 24. Oktober 2022, wonach der Beschwerdeführer für die in der Schweiz ausgeübten Tätigkeiten (bei der B.________ AG) im Bereich Montage von Industrietoren ab 1. Januar 2018 als unselbstständig erwerbend gelte. Dabei legte sie in einlässlicher Auseinandersetzung mit den Parteivorbringen und in Würdigung der Akten dar, weshalb die für eine unselbstständige Erwerbstätigkeit sprechenden Indizien klar überwiegten.</w:t>
      </w:r>
    </w:p>
    <w:p>
      <w:r>
        <w:rPr>
          <w:b/>
        </w:rPr>
        <w:t>E. 4</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legt er dar, weshalb die darauf beruhenden Erwägungen gegen Bundesrecht verstossen oder einen anderen Beschwerdegrund (vgl. Art. 95 lit. a-e BGG ) gesetzt haben könnten. Soweit er als Argument für die Selbstständigkeit Betriebskosten in der Höhe von durchschnittlich EUR 120'000.- geltend macht, zeigt er nicht auf, inwiefern die vorinstanzlichen Feststellungen zu den vom Beschwerdeführer bei der Verrichtung der Arbeiten für die B.________ AG effektiv und persönlich eingesetzten Eigenmittel willkürlich sein sollen. Insgesamt gehen seine Vorbringen nicht über eine vor Bundesgericht unzulässige appellatorische Kritik hinaus.</w:t>
      </w:r>
    </w:p>
    <w:p>
      <w:r>
        <w:rPr>
          <w:b/>
        </w:rPr>
        <w:t>E. 5</w:t>
      </w:r>
    </w:p>
    <w:p>
      <w:r>
        <w:t>Erweist sich die Beschwerde als offensichtlich ungenügend begründet, kann das Rechtsmittel im vereinfachten Verfahren nach Art. 108 Abs. 1 lit. b BGG erledigt werden.</w:t>
      </w:r>
    </w:p>
    <w:p>
      <w:r>
        <w:rPr>
          <w:b/>
        </w:rPr>
        <w:t>E. 6</w:t>
      </w:r>
    </w:p>
    <w:p>
      <w:r>
        <w:t>In Anwendung von Art. 66 Abs. 1 Satz 2 BGG wird ausnahmsweise auf die Erhebung von Gerichtskosten verzichtet.</w:t>
      </w:r>
    </w:p>
    <w:p>
      <w:r>
        <w:rPr>
          <w:b/>
        </w:rPr>
        <w:t>E. 7</w:t>
      </w:r>
    </w:p>
    <w:p>
      <w:r>
        <w:t>Da dieser Begründungsmangel offensichtlich ist, führt dies zu einem Nichteintreten auf das Rechtsmittel im vereinfachten Verfahren nach Art. 108 Abs. 1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