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8C_429/2024 vom 17. September 2024</w:t>
      </w:r>
    </w:p>
    <w:p>
      <w:r>
        <w:t>Bundesgericht, 2024-09-17, DE</w:t>
      </w:r>
    </w:p>
    <w:p>
      <w:r>
        <w:rPr>
          <w:b/>
        </w:rPr>
        <w:t xml:space="preserve">Quelle: </w:t>
      </w:r>
      <w:r>
        <w:t>https://mcp.opencaselaw.ch/entscheid/bger_8C_429_2024</w:t>
      </w:r>
    </w:p>
    <w:p>
      <w:r>
        <w:t>FR: TF 8C_429/2024 du 17 septembre 2024</w:t>
      </w:r>
    </w:p>
    <w:p>
      <w:r>
        <w:t>IT: TF 8C_429/2024 del 17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Entscheid vom 18. Juni 2024 hat die Vorinstanz nach Würdigung der Aktenlage und Auseinandersetzung mit den Parteivorbringen dargelegt, dass die Beschwerdeführerin mit ihrem Verhalten das Zustandekommen eines zumutbaren Arbeitsvertrags habe scheitern lassen. Das kantonale Gericht hat erwogen, dass dieser Umstand als Ablehnung einer zumutbaren Stelle zu werten und mithin der Tatbestand von Art. 30 Abs. 1 lit. d AVIG erfüllt sei. Es ist von einem schweren, mit mindestens 31 Tagen zu sanktionierenden Verhalten ausgegangen. Mit 31 Einstelltagen habe der Beschwerdegegner die für schweres Verschulden kürzest mögliche Dauer verfügt und damit durchaus mildernde Umstände berücksichtigt, so die Vorinstanz weiter. In der Folge hat sie den Einspracheentscheid vom 8. April 2024 bestätigt.</w:t>
      </w:r>
    </w:p>
    <w:p>
      <w:r>
        <w:rPr>
          <w:b/>
        </w:rPr>
        <w:t>E. 3</w:t>
      </w:r>
    </w:p>
    <w:p>
      <w:r>
        <w:t>Die Rügen der Beschwerdeführerin erschöpfen sich mit der Wiedergabe ihrer eigenen Sichtweise in einer letztinstanzlich unzulässigen appellatorischen Kritik (vgl. E. 1 hiervor) an der vorinstanzlichen Wertung der Parteivorbringen. So kritisiert sie namentlich, dass die Vorinstanz die negative Haltung der Stellenanbieterin ihr gegenüber nicht genügend berücksichtigt habe. Mit diesem Anliegen hat sich das kantonale Gericht umfassend auseinandergesetzt. Es hat nachvollziehbar dargelegt, dass trotz des anfänglichen Interesses seitens der Stellenanbieterin letztlich das Verhalten der Beschwerdeführerin bei der erstmaligen Kontaktaufnahme die Nichtweiterverfolgung des Bewerbungsprozesses bewirkt habe. Inwiefern das kantonale Gericht dabei hinsichtlich der Erhebung des Sachverhalts mit offensichtlich unrichtigen Feststellungen in Willkür verfallen sein (dazu Näheres: BGE 146 IV 88 E. 1.3.1 f.; 140 III 115 E. 2; je mit Hinweisen) oder, auch mit Blick auf die rechtliche Würdigung, einen anderen Beschwerdegrund ( Art. 95 ff. BGG ) gesetzt haben soll, vermag die Beschwerdeführerin nicht aufzuzeigen.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