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429/2007 vom 24. Juli 2008</w:t>
      </w:r>
    </w:p>
    <w:p>
      <w:r>
        <w:t>Bundesgericht, 2008-07-24, DE</w:t>
      </w:r>
    </w:p>
    <w:p>
      <w:r>
        <w:rPr>
          <w:b/>
        </w:rPr>
        <w:t xml:space="preserve">Quelle: </w:t>
      </w:r>
      <w:r>
        <w:t>https://mcp.opencaselaw.ch/entscheid/bger_8C_429_2007</w:t>
      </w:r>
    </w:p>
    <w:p>
      <w:r>
        <w:t>FR: TF 8C 429/2007 du 24 juillet 2008</w:t>
      </w:r>
    </w:p>
    <w:p>
      <w:r>
        <w:t>IT: TF 8C 429/2007 del 24 luglio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Beim angefochtenen Rückweisungsentscheid handelt es sich um einen Vor- oder Zwischenentscheid im Sinne von Art. 93 BGG ( BGE 133 V 477 E. 4.2 S. 481).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2.2.1</w:t>
      </w:r>
    </w:p>
    <w:p>
      <w:r>
        <w:t>Ein im Sinne von Art. 93 Abs. 1 lit. a BGG nicht wieder gutzumachend Nachteil ist gegeben, wenn er auch mit einem für die Beschwerde führende Partei günstigen Endentscheid nicht oder nicht gänzlich behoben werden kann ( BGE 133 V 477 E. 5.2 S. 483). Die Rückweisung der Sache an die Unfallversicherung zu weiterer oder ergänzender Abklärung und neuer Entscheidung stellt lediglich insoweit einen solchen Nachteil für die Verwaltung dar, als diese durch materielle Vorgaben wesentlich in ihrem Beurteilungsspielraum eingeschränkt wird und davon in der Folge nicht mehr abgewichen werden kann. Die Verpflichtung der Unfallversicherung zur Vornahme weiterer oder ergänzender Abklärungen und zu neuer Entscheidung durch das kantonale Gericht stellt keinen im Sinne von Art. 93 Abs. 1 lit. a BGG nicht wieder gutzumachenden Nachteil dar. Dies gilt, selbst wenn die vorinstanzliche Feststellung, der rechtserhebliche Sachverhalt sei ungenügend abgeklärt, offensichtlich unrichtig wäre oder auf einer qualifiziert unrichtigen oder sogar willkürlichen Beweiswürdigung beruhte (Urteile 9C_613/2007 vom 23. Oktober 2007, 9C_301/2007 vom 28. September 2007).</w:t>
      </w:r>
    </w:p>
    <w:p>
      <w:r>
        <w:rPr>
          <w:b/>
        </w:rPr>
        <w:t>E. 2.2.2</w:t>
      </w:r>
    </w:p>
    <w:p>
      <w:r>
        <w:t>Auch in Bezug auf den Eintretensgrund von Art. 93 Abs. 1 lit. b BGG ist selbstständige Anfechtbarkeit von Zwischenentscheiden aus prozessökonomischen Gründen eine Ausnahme, die restriktiv zu handhaben ist. Dies umso mehr, als die Parteien keiner Rechte verlustig gehen, wenn sie einen Zwischenentscheid nicht selbst anfechten, können sie ihn doch mit dem Endentscheid anfechten, soweit er sich auf dessen Inhalt auswirkt ( Art. 93 Abs. 3 BGG ). Das Bundesgericht prüft nach freiem Ermessen, ob die Voraussetzung von Art. 93 Abs. 1 lit. b BGG , dass bei einer Gutheissung der Beschwerde ein bedeutender Aufwand an Zeit und Kosten für ein weitläufiges Beweisverfahren erspart werden kann, erfüllt ist ( BGE 133 IV 288 E. 3.2 S. 292; Urteil 9C_446/2007 vom 5. Dezember 2007, 8C_224/2007 vom 23. Oktober 2007, 1C_136/2007 vom 24. September 2007). Wie das Bundesgericht schon wiederholt entschieden hat, ist auf Beschwerden gegen vorinstanzliche Rückweisungsentscheide, mit denen einzig eine ergänzende Sachverhaltsabklärung angeordnet wird, auch unter dem Blickwinkel von Art. 93 Abs. 1 lit. b BGG in der Regel nicht einzutreten (Urteile 9C_446/2007 vom 5. Dezember 2007, 9C_234/2007 vom 3. Oktober 2007 und 9C_276/2007 vom 25. Juni 2007).</w:t>
      </w:r>
    </w:p>
    <w:p>
      <w:r>
        <w:rPr>
          <w:b/>
        </w:rPr>
        <w:t>E. 3</w:t>
      </w:r>
    </w:p>
    <w:p>
      <w:r>
        <w:t>Vorliegend hat der Beschwerdeführer nicht dargetan, inwiefern ihm durch den Rückweisungsentscheid des kantonalen Gerichts ein nichtwiedergutzumachender Nachteil droht, oder ein bedeutender Aufwand an Zeit und Kosten erspart werden könnte. Entsprechende Argumente sind denn auch nicht ersichtlich. Der Beschwerdeführer wendet sich in der Beschwerde nicht gegen die Rückweisung zu weiteren Abklärungen, sondern lediglich gegen die im angefochtenen Entscheid getroffene Feststellung, seine psychischen Beschwerden würden nicht in einem adäquaten Kausalzusammenhang mit dem versicherten Unfall stehen. Diese bindet zwar bei einer eventuellen erneuten Anfechtung der nach der Sachverhaltsabklärung zu erlassenden Leistungsverfügung die Unfallversicherung und das kantonale Gericht selbst ( BGE 133 V 477 E. 5.2.3 S. 484), nicht aber das Bundesgericht, an welches ein Endentscheid vom Versicherten immer weitergezogen werden kann ( Art. 93 Abs. 3 BGG ). Das Bundesgericht könnte somit grundsätzlich später die nach Auffassung des Beschwerdeführers unzutreffende vorinstanzliche Rechtsanwendung korrigieren. Damit besteht für ihn kein nichtwiedergutzumachender Nachteil. Da die Unfallversicherung die Kosten für die Begutachtung zu tragen haben wird, ist auch lit. b von Art. 93 Abs. 1 BGG - unbesehen von der Höhe dieser Kosten - jedenfalls für den Beschwerdeführer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