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8C_428/2019 vom 18. Juli 2019</w:t>
      </w:r>
    </w:p>
    <w:p>
      <w:r>
        <w:t>Bundesgericht, 2019-07-18, DE</w:t>
      </w:r>
    </w:p>
    <w:p>
      <w:r>
        <w:rPr>
          <w:b/>
        </w:rPr>
        <w:t xml:space="preserve">Quelle: </w:t>
      </w:r>
      <w:r>
        <w:t>https://mcp.opencaselaw.ch/entscheid/bger_8C_428_2019</w:t>
      </w:r>
    </w:p>
    <w:p>
      <w:r>
        <w:t>FR: TF 8C_428/2019 du 18 juillet 2019</w:t>
      </w:r>
    </w:p>
    <w:p>
      <w:r>
        <w:t>IT: TF 8C_428/2019 del 18 luglio 2019</w:t>
      </w:r>
    </w:p>
    <w:p>
      <w:pPr>
        <w:pStyle w:val="Heading2"/>
      </w:pPr>
      <w:r>
        <w:t>Volltext</w:t>
      </w:r>
    </w:p>
    <w:p>
      <w:r>
        <w:t>Bundesgericht</w:t>
      </w:r>
    </w:p>
    <w:p>
      <w:r>
        <w:t>Tribunal fédéral</w:t>
      </w:r>
    </w:p>
    <w:p>
      <w:r>
        <w:t>Tribunale federale</w:t>
      </w:r>
    </w:p>
    <w:p>
      <w:r>
        <w:t>Tribunal federal</w:t>
      </w:r>
    </w:p>
    <w:p>
      <w:r>
        <w:t>8C_428/2019</w:t>
      </w:r>
    </w:p>
    <w:p>
      <w:r>
        <w:t>Urteil vom 18. Juli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Arbeitslosenkasse des Kantons Zug, Industriestrasse 24, 6300 Zug,</w:t>
      </w:r>
    </w:p>
    <w:p>
      <w:r>
        <w:t>Beschwerdegegnerin.</w:t>
      </w:r>
    </w:p>
    <w:p>
      <w:r>
        <w:t>Gegenstand</w:t>
      </w:r>
    </w:p>
    <w:p>
      <w:r>
        <w:t>Arbeitslosenversicherung (Prozessvoraussetzung),</w:t>
      </w:r>
    </w:p>
    <w:p>
      <w:r>
        <w:t>Beschwerde gegen den Entscheid des Verwaltungsgerichts des Kantons Zug</w:t>
      </w:r>
    </w:p>
    <w:p>
      <w:r>
        <w:t>vom 27. Mai 2019 (S 2019 34).</w:t>
      </w:r>
    </w:p>
    <w:p>
      <w:r>
        <w:t>Nach Einsicht</w:t>
      </w:r>
    </w:p>
    <w:p>
      <w:r>
        <w:t>in die Beschwerde vom 14. Juni 2019 gegen den Nichteintretensentscheid des Verwaltungsgerichts des Kantons Zug vom 27. Mai 2019,</w:t>
      </w:r>
    </w:p>
    <w:p>
      <w:r>
        <w:t>in die Mitteilung des Bundesgerichts vom 21. Juni 2019 an A.________, worin auf die gesetzlichen Formerfordernisse von Beschwerden hinsichtlich Begehren und Begründung, insbesondere bei angefochtenen Nichteintretensentscheiden,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w:t>
      </w:r>
    </w:p>
    <w:p>
      <w:r>
        <w:t>dass die vorliegende Eingabe vom 14. Juni 2019 den Begründungsanforderungen offensichtlich nicht zu genügen vermag, da darin keine Auseinandersetzung mit der prozessualen Erledigung durch die Vorinstanz stattfindet und insbesondere nicht dargelegt wird,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w:t>
      </w:r>
    </w:p>
    <w:p>
      <w:r>
        <w:t>dass der Beschwerdeführer der bundesgerichtlichen Aufforderung zur Mangelbehebung vom 21. Juni 2019 nicht nachgekommen ist,</w:t>
      </w:r>
    </w:p>
    <w:p>
      <w:r>
        <w:t>dass demgemäss ein offensichtlicher Begründungsmangel vorliegt, weshalb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dem Staatssekretariat für Wirtschaft (SECO) und dem Amt für Wirtschaft und Arbeit (AWA) schriftlich mitgeteilt.</w:t>
      </w:r>
    </w:p>
    <w:p>
      <w:r>
        <w:t>Luzern, 18. Juli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