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8C_427/2025 vom 19. September 2025</w:t>
      </w:r>
    </w:p>
    <w:p>
      <w:r>
        <w:t>Bundesgericht, 2025-09-19, DE</w:t>
      </w:r>
    </w:p>
    <w:p>
      <w:r>
        <w:rPr>
          <w:b/>
        </w:rPr>
        <w:t xml:space="preserve">Quelle: </w:t>
      </w:r>
      <w:r>
        <w:t>https://mcp.opencaselaw.ch/entscheid/bger_8C_427_2025</w:t>
      </w:r>
    </w:p>
    <w:p>
      <w:r>
        <w:t>FR: TF 8C_427/2025 du 19 septembre 2025</w:t>
      </w:r>
    </w:p>
    <w:p>
      <w:r>
        <w:t>IT: TF 8C_427/2025 del 19 settembre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Es ist anhand der massgeblichen Erwägungen klar und detailliert darzulegen, welche verfassungsmässigen Rechte und inwiefern sie durch dieses Urteil verletzt sein sollen. Ist ein Nichteintretensurteil angefochten, setzt dies eine spezifische Auseinandersetzung mit den Nichteintretensgründen voraus ( BGE 123 V 335 ).</w:t>
      </w:r>
    </w:p>
    <w:p>
      <w:r>
        <w:rPr>
          <w:b/>
        </w:rPr>
        <w:t>E. 2</w:t>
      </w:r>
    </w:p>
    <w:p>
      <w:r>
        <w:t>Das kantonale Gericht trat mit Urteil vom 30. Juni 2025 auf die am 2. Mai 2025 erhobene Beschwerde mangels Anfechtungsobjekt nicht ein.</w:t>
      </w:r>
    </w:p>
    <w:p>
      <w:r>
        <w:rPr>
          <w:b/>
        </w:rPr>
        <w:t>E. 3</w:t>
      </w:r>
    </w:p>
    <w:p>
      <w:r>
        <w:t>Inwiefern die Vorinstanz dabei unrichtige Sachverhaltsfeststellungen im Sinne von Art. 97 Abs. 2 BGG getroffen oder einen anderen Beschwerdegrund ( Art. 95 ff. BGG ) gesetzt haben soll, legt die Beschwerdeführerin nicht dar. Stattdessen fordert sie unter Verweis auf ihren Gesundheitszustand Leistungen von der Beschwerdegegnerin, was an der Sache vorbeizielt.</w:t>
      </w:r>
    </w:p>
    <w:p>
      <w:r>
        <w:rPr>
          <w:b/>
        </w:rPr>
        <w:t>E. 4</w:t>
      </w:r>
    </w:p>
    <w:p>
      <w:r>
        <w:t>Liegt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