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8C_424/2025 vom 8. September 2025</w:t>
      </w:r>
    </w:p>
    <w:p>
      <w:r>
        <w:t>Bundesgericht, 2025-09-08, DE</w:t>
      </w:r>
    </w:p>
    <w:p>
      <w:r>
        <w:rPr>
          <w:b/>
        </w:rPr>
        <w:t xml:space="preserve">Quelle: </w:t>
      </w:r>
      <w:r>
        <w:t>https://mcp.opencaselaw.ch/entscheid/bger_8C_424_2025</w:t>
      </w:r>
    </w:p>
    <w:p>
      <w:r>
        <w:t>FR: TF 8C_424/2025 du 8 septembre 2025</w:t>
      </w:r>
    </w:p>
    <w:p>
      <w:r>
        <w:t>IT: TF 8C_424/2025 del 8 settembre 2025</w:t>
      </w:r>
    </w:p>
    <w:p>
      <w:pPr>
        <w:pStyle w:val="Heading2"/>
      </w:pPr>
      <w:r>
        <w:t>Erwägungen</w:t>
      </w:r>
    </w:p>
    <w:p>
      <w:r>
        <w:rPr>
          <w:b/>
        </w:rPr>
        <w:t>E. 1.1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1.2</w:t>
      </w:r>
    </w:p>
    <w:p>
      <w:r>
        <w:t>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bestätigte mit Urteil vom 18. Juni 2025 in Auseinandersetzung mit den Parteivorbringen und in Würdigung der Akten den Einspracheentscheid des Beschwerdegegners vom 21. Oktober 2024, wonach der Beschwerdeführer ab dem 15. August 2024 keinen Anspruch auf Arbeitslosenentschädigung mehr habe. Dies begründete es damit, dass der Beschwerdeführer die gemäss Art. 8 in Verbindung mit Art. 13 f. AVIG dafür geforderte Beitragszeit von mindestens zwölf Monaten in der massgeblichen Rahmenfrist mit elf Monaten und 18.21 Tagen nicht erfüllt habe. Soweit der Beschwerdeführer geltend mache, der zuständige Sachbearbeiter der Arbeitslosenkasse habe ihm am 23. April 2024 telefonisch mitgeteilt, dass er die Beitragszeit geprüft habe und ab 15. August 2024 ein Anspruch auf eine neue Rahmenfrist bestehe, stehe Aussage gegen Aussage, womit sich die behauptete Falschauskunft nicht rechtsgenüglich beweisen lasse. Selbst wenn der Beschwerdeführer eine solche Auskunft erhalten hätte, wäre er dadurch nicht von seiner Pflicht entbunden gewesen, weiterhin Arbeit zu suchen, was er denn auch getan habe. Es fehle an Anhaltspunkten, dass er sich bei korrekter Auskunft wesentlich anders verhalten hätte, womit er aus der behaupteten Falschauskunft nichts zu seinen Gunsten ableiten könne.</w:t>
      </w:r>
    </w:p>
    <w:p>
      <w:r>
        <w:rPr>
          <w:b/>
        </w:rPr>
        <w:t>E. 3</w:t>
      </w:r>
    </w:p>
    <w:p>
      <w:r>
        <w:t>Was der Beschwerdeführer dagegen vorträgt, verfängt - soweit überhaupt über eine letztinstanzlich unzulässige appellatorische Kritik hinausgehend (E. 1.1 hiervor) - nicht. Wenn er geltend macht, die ihm bis Ende der ersten Rahmenfrist zustehenden Urlaubstage im Vertrauen auf die Falschauskunft bezogen zu haben, statt sich in dieser Zeit um Arbeit zu bemühen, handelt es sich um eine von vornherein unzulässige neue Tatsachenbehauptung ( Art. 93 Abs. 1 BGG ; E. 1.1 hiervor). Abgesehen davon ist damit nicht rechtsgenüglich aufgezeigt, dass der Beschwerdeführer selbst bei vorhandenen Bemühungen um eine neue Arbeitsstelle in dieser Zeit auch tatsächlich eine solche gefunden und so die fehlenden Beitragstage ausgefüllt hätte (s. BGE 143 V 95 E. 3.6.2, darin erwähnte Voraussetzung e). Ohnehin erachtete die Vorinstanz die behauptete Falschauskunft zwar als möglich, aber nicht als mit dem erforderlichen Beweisgrad der überwiegenden Wahrscheinlichkeit erstellt. Inwieweit die dabei vorgenommene Beweiswürdigung rechtsfehlerhaft, d.h. willkürlich ( BGE 146 IV 88 E. 1.3.1 f. und 140 III 115 E. 5; je mit Hinweisen) sein soll, verschliesst sich dem Bundesgericht. Allein - wie bereits vor Vorinstanz - die Ehegattin als Zeugin für die geltend gemachten Vorgänge anzurufen, reicht nicht aus (vgl. auch BGE 143 V 341 E. 5.3.1).</w:t>
      </w:r>
    </w:p>
    <w:p>
      <w:r>
        <w:rPr>
          <w:b/>
        </w:rPr>
        <w:t>E. 4</w:t>
      </w:r>
    </w:p>
    <w:p>
      <w:r>
        <w:t>Die Beschwerde erweist sich als offensichtlich unbegründet. Sie wird im vereinfachten Verfahren nach Art. 109 BGG ohne Durchführung eines Schriftenwechsels, mit summarischer Begründung und unter Verweis auf den vorinstanzlichen Entscheid erledigt.</w:t>
      </w:r>
    </w:p>
    <w:p>
      <w:r>
        <w:rPr>
          <w:b/>
        </w:rPr>
        <w:t>E. 5</w:t>
      </w:r>
    </w:p>
    <w:p>
      <w:r>
        <w:t>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