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8C_424/2010 vom 19. Juli 2010</w:t>
      </w:r>
    </w:p>
    <w:p>
      <w:r>
        <w:t>Bundesgericht, 2010-07-19, DE</w:t>
      </w:r>
    </w:p>
    <w:p>
      <w:r>
        <w:rPr>
          <w:b/>
        </w:rPr>
        <w:t xml:space="preserve">Quelle: </w:t>
      </w:r>
      <w:r>
        <w:t>https://mcp.opencaselaw.ch/entscheid/bger_8C_424_2010</w:t>
      </w:r>
    </w:p>
    <w:p>
      <w:r>
        <w:t>FR: TF 8C_424/2010 du 19 juillet 2010</w:t>
      </w:r>
    </w:p>
    <w:p>
      <w:r>
        <w:t>IT: TF 8C_424/2010 del 19 luglio 2010</w:t>
      </w:r>
    </w:p>
    <w:p>
      <w:pPr>
        <w:pStyle w:val="Heading2"/>
      </w:pPr>
      <w:r>
        <w:t>Erwägungen</w:t>
      </w:r>
    </w:p>
    <w:p>
      <w:r>
        <w:rPr>
          <w:b/>
        </w:rPr>
        <w:t>E. 1</w:t>
      </w:r>
    </w:p>
    <w:p>
      <w:r>
        <w:t>Die IV-Stelle hat in der Verfügung vom 6. Januar 2010 über den Rentenanspruch befunden. Weiter hat sie ausgeführt, der Versicherte könne sich bei ihr melden, falls er Arbeitsvermittlung wünsche. Über allfällige weitergehende berufliche Massnahmen hat sie nicht entschieden. Soweit der Versicherte solche verlangt, ist demnach auf die Beschwerde mangels Anfechtungsgegenstandes nicht einzutreten ( BGE 131 V 164 f. E. 2.1). Im Übrigen ist darauf einzutreten, da sich aus deren Begründung ergibt, dass er eine höhere Invalidenrente verlangt ( BGE 135 V 98 E. 1 S. 99, 134 III 379 E. 1.3 S. 383; Urteil 8C_223/2009 vom 4. Juni 2009 E. 2).</w:t>
      </w:r>
    </w:p>
    <w:p>
      <w:r>
        <w:rPr>
          <w:b/>
        </w:rPr>
        <w:t>E. 2</w:t>
      </w:r>
    </w:p>
    <w:p>
      <w:r>
        <w:t>Die Beschwerde in öffentlich-rechtlichen Angelegenheiten kann wegen Rechtsverletzung nach Art. 95 f. BGG erhoben werden. Das Bundesgericht wendet das Recht von Amtes wegen an ( Art. 106 Abs. 1 BGG ). Immerhin prüft es, unter Berücksichtigung der allgemeinen Begründungspflicht der Beschwerde (Art. 42 Abs. 1 f. BGG), grundsätzlich nur die geltend gemachten Rügen, sofern die rechtlichen Mängel nicht geradezu offensichtlich sind ( BGE 133 II 249 E. 1.4.1 S. 254).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BGE 135 V 412 E. 1.2.1).</w:t>
      </w:r>
    </w:p>
    <w:p>
      <w:r>
        <w:t>Der aufgrund medizinischer Untersuchungen gerichtlich festgestellte Gesundheitszustand und die entsprechende Arbeits(un)fähigkeit betreffen eine Tatfrage ( BGE 132 V 393 E. 3.2 S. 397 ff.). Rechtsverletzungen sind die unvollständige Feststellung rechtserheblicher Tatsachen, die Missachtung des Untersuchungsgrundsatzes ( Art. 43 Abs. 1, Art. 61 lit. c ATSG ) und der Anforderungen an den Beweiswert von Arztberichten ( BGE 134 V 231 f. E. 5.1). Die konkrete Beweiswürdigung ist Tatfrage (nicht publ. E. 1 des Urteils BGE 135 V 306 , in SVR 2009 IV Nr. 52 S. 161 [8C_763/2008]; nicht publ. E. 4.1 des Urteils BGE 135 V 254 , in SVR 2009 IV Nr. 53 S. 164 [9C_204/2009]).</w:t>
      </w:r>
    </w:p>
    <w:p>
      <w:r>
        <w:rPr>
          <w:b/>
        </w:rPr>
        <w:t>E. 3.1</w:t>
      </w:r>
    </w:p>
    <w:p>
      <w:r>
        <w:t>Die Vorinstanz hat die für die Anspruchsbeurteilung massgebenden Bestimmungen und die entsprechende Rechtsprechung zutreffend dargelegt. Weiter hat sie mit einlässlicher und überzeugender Begründung, worauf verwiesen wird ( Art. 109 Abs. 3 BGG ), richtig erkannt, dass das polydisziplinäre (internistische/allgemeinmedizinische, psychiatrische und rheumatologische) Gutachten des Instituts X.________ vom 23. Juni 2009 die praxisgemässen Anforderungen an den Beweiswert von Arztberichten erfüllt, weshalb darauf abgestellt werden kann. Gestützt hierauf ist der Versicherte in leidensangepasster Arbeit zu 75 % arbeitsfähig.</w:t>
      </w:r>
    </w:p>
    <w:p>
      <w:r>
        <w:rPr>
          <w:b/>
        </w:rPr>
        <w:t>E. 3.2</w:t>
      </w:r>
    </w:p>
    <w:p>
      <w:r>
        <w:t>Die Vorbringen des Beschwerdeführers entsprechen im Wesentlichen denjenigen im kantonalen Verfahren und wurden von der Vorinstanz entkräftet. Er erhebt insgesamt keine Rügen, welche ihre Sachverhaltsfeststellung zu seinem Gesundheitszustand und seiner Arbeits(un)fähigkeit als offensichtlich unrichtig oder auf einer Rechtsverletzung im Sinne von Art. 95 BGG beruhend erscheinen lassen.</w:t>
      </w:r>
    </w:p>
    <w:p>
      <w:r>
        <w:rPr>
          <w:b/>
        </w:rPr>
        <w:t>E. 3.2.1</w:t>
      </w:r>
    </w:p>
    <w:p>
      <w:r>
        <w:t>Der Versicherte verlangt unter anderem eine Stellungnahme zum versicherungsmedizinischen Stellenwert subjektiver Angaben psychiatrischer Patienten. IV-Stelle und Vorinstanz hätten solche Angaben als irrelevant angesehen bzw. zu dieser Problematik nicht Stellung genommen und damit seinen Gehörsanspruch verletzt.</w:t>
      </w:r>
    </w:p>
    <w:p>
      <w:r>
        <w:t>Die Vorinstanz hat richtig erkannt, dass die IV-Stelle der aus dem Anspruch auf rechtliches Gehör fliessenden Begründungspflicht ( Art. 29 Abs. 2 BV ; Art. 42, Art. 49 Abs. 3 ATSG ) nachgekommen ist, indem sie in der streitigen Verfügung ausführte, die subjektiven Angaben des Versicherten über seine Beschwerden seien nicht relevant für die Beurteilung der Arbeits- und Erwerbsunfähigkeit. Denn damit hat die IV-Stelle wenigstens kurz die Überlegungen genannt, von denen sie sich hat leiten lassen und auf welche sie ihre Verfügung stützt, was hinreichend ist ( BGE 130 II 530 E. 4.3 S. 540, 124 V 180 f. E. 1a; Urteil 9C_363/2009 vom 18. März 2010 E. 3.1). Gleiches gilt bezüglich des Entscheides der Vorinstanz, die erwogen hat, das psychiatrische Gutachten nehme die aktuellen Beschwerden des Versicherten umfassend auf und eine weiterführende Schmerzanamnese, die auf seinem subjektiven Empfinden basiere, würde für die Beurteilung der Arbeits(un)fähigkeit keine zusätzlichen Erkenntnisse bringen.</w:t>
      </w:r>
    </w:p>
    <w:p>
      <w:r>
        <w:t>In materieller Hinsicht ist diesbezüglich festzuhalten, dass im Rahmen einer psychiatrischen Begutachtung auch die geklagten Beschwerden bzw. die subjektiven Angaben der untersuchten Person zu berücksichtigen sind ( BGE 134 V 231 E. 5.1 S. 232; Leitlinien der Schweizerischen Gesellschaft Versicherungspsychiatrie [SGVP] für die Begutachtung psychischer Störungen, in: Schweizerische Ärztezeitung 2004 S. 1048 Ziff. IV/8 f. S. 1051; zur Bedeutung dieser Leitlinien vgl. Urteil 8C_695/2009 vom 17. Dezember 2009 E. 3.2.1). Das Gutachten des Instituts X.________ vom 23. Juni 2009 genügt diesen Anforderungen und ist in diesem Lichte nicht zu beanstanden.</w:t>
      </w:r>
    </w:p>
    <w:p>
      <w:r>
        <w:rPr>
          <w:b/>
        </w:rPr>
        <w:t>E. 3.2.2</w:t>
      </w:r>
    </w:p>
    <w:p>
      <w:r>
        <w:t>Weiter hat die Vorinstanz richtig erkannt, dass den Gutachtern des Instituts X.________ die Einschätzung des behandelnden Psychiaters Dr. med. F.________ aus den Akten hinreichend bekannt war und dass das Gutachten nicht deshalb in Frage zu stellen ist, weil darin weder zum von Dr. med. F.________ postulierten "Mixed Pain Syndrom" noch zur ICD-Klassifikation "Chronische Schmerzstörung mit somatischen und psychischen Faktoren" (ICD-10 F45.41) Stellung genommen wurde.</w:t>
      </w:r>
    </w:p>
    <w:p>
      <w:r>
        <w:rPr>
          <w:b/>
        </w:rPr>
        <w:t>E. 3.2.3</w:t>
      </w:r>
    </w:p>
    <w:p>
      <w:r>
        <w:t>Eine zusätzliche medizinische Abklärung ist nicht durchzuführen, da hievon keine neuen Erkenntnisse zu erwarten sind (antizipierte Beweiswürdigung; BGE 134 I 140 E. 5.3 S. 148). Alle weiteren Einwendungen des Versicherten vermögen an diesem Ergebnis ebenfalls nichts zu ändern.</w:t>
      </w:r>
    </w:p>
    <w:p>
      <w:r>
        <w:rPr>
          <w:b/>
        </w:rPr>
        <w:t>E. 3.3</w:t>
      </w:r>
    </w:p>
    <w:p>
      <w:r>
        <w:t>Der Einkommensvergleich, der zum Anspruch auf eine Viertelsrente führt, wird vom Versicherten nicht beanstandet, weshalb es damit sein Bewenden hat (vgl. Urteil 8C_1076/2009 vom 21. Januar 2010 E. 3).</w:t>
      </w:r>
    </w:p>
    <w:p>
      <w:r>
        <w:rPr>
          <w:b/>
        </w:rPr>
        <w:t>E. 4</w:t>
      </w:r>
    </w:p>
    <w:p>
      <w:r>
        <w:t>Die offensichtlich unbegründete Beschwerde wird nach Art. 109 Abs. 2 lit. a BGG ohne Durchführung eines Schriftenwechsels erledigt. 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