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423/2023 vom 28. Juni 2023</w:t>
      </w:r>
    </w:p>
    <w:p>
      <w:r>
        <w:t>Bundesgericht, 2023-06-28, DE</w:t>
      </w:r>
    </w:p>
    <w:p>
      <w:r>
        <w:rPr>
          <w:b/>
        </w:rPr>
        <w:t xml:space="preserve">Quelle: </w:t>
      </w:r>
      <w:r>
        <w:t>https://mcp.opencaselaw.ch/entscheid/bger_8C_423_2023</w:t>
      </w:r>
    </w:p>
    <w:p>
      <w:r>
        <w:t>FR: TF 8C 423/2023 du 28 juin 2023</w:t>
      </w:r>
    </w:p>
    <w:p>
      <w:r>
        <w:t>IT: TF 8C 423/2023 del 28 giugno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21. April 2023 den Einspracheentscheid des Beschwerdegegners vom 30. November 2022, worin die Beschwerdeführerin wegen abgelehnter zumutbarer Arbeit für die Dauer von 23 Tagen in der Anspruchsberechtigung auf Arbeitslosenentschädigung eingestellt wurde. Dabei legte es dar, weshalb die Einstellung selbst dann nicht zu beanstanden wäre, wenn den Sachverhaltsdarstellungen der Beschwerdeführerin gefolgt würde: Das geschilderte Verhalten sei jedenfalls als zögerlich zu werten. Kombiniert mit dem wiederholt geäusserten Wunsch nach einer Festanstellung habe die Beschwerdeführerin bei der Stellenvermittlerin bzw. dem potentiellen neuen Arbeitgeber Zweifel aufkommen lassen, ob sie tatsächlich an der angebotenen Stelle interessiert sei. Damit habe sie ihre Anstellungschancen vermindert und in Kauf genommen, dass die (befristet angebotene) Stelle anderweitig besetzt wurde, was einer Stellenablehnung im Sinne von Art. 30 Abs. 1 lit. d AVIG gleichzusetzen sei und eine Einstellung im beschlossenen Umfang erlaube.</w:t>
      </w:r>
    </w:p>
    <w:p>
      <w:r>
        <w:rPr>
          <w:b/>
        </w:rPr>
        <w:t>E. 3</w:t>
      </w:r>
    </w:p>
    <w:p>
      <w:r>
        <w:t>Die Ausführungen in der Beschwerde erschöpfen sich in einer letztinstanzlich unzulässigen appellatorischen Kritik an der vorinstanzlichen Wertung der Parteivorbringen. Inwiefern das kantonale Gericht dabei in Willkür verfallen sein (dazu Näheres: BGE 146 IV 88 E. 1.3.1 f.; 140 III 115 E. 2; je mit Hinweisen) oder einen anderen Beschwerdegrund ( Art. 95 ff. BGG ) gesetzt haben soll, legt die Beschwerdeführerin nicht dar. Vielmehr beschränkt sie sich darauf, den Geschehensablauf (erneut) aus ihrer Sicht zu schildern, was im bundesgerichtlichen Verfahren nicht ausreicht.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