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423/2007 vom 18. März 2008</w:t>
      </w:r>
    </w:p>
    <w:p>
      <w:r>
        <w:t>Bundesgericht, 2008-03-18, DE</w:t>
      </w:r>
    </w:p>
    <w:p>
      <w:r>
        <w:rPr>
          <w:b/>
        </w:rPr>
        <w:t xml:space="preserve">Quelle: </w:t>
      </w:r>
      <w:r>
        <w:t>https://mcp.opencaselaw.ch/entscheid/bger_8C_423_2007</w:t>
      </w:r>
    </w:p>
    <w:p>
      <w:r>
        <w:t>FR: TF 8C 423/2007 du 18 mars 2008</w:t>
      </w:r>
    </w:p>
    <w:p>
      <w:r>
        <w:t>IT: TF 8C 423/2007 del 18 marzo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macht letztinstanzlich zu Recht nicht mehr geltend, Anspruch auf eine Übergangsentschädigung im Sinne von Art. 86 VUV zu haben. Streitig und zu prüfen ist jedoch sein Anspruch auf eine Invalidenrente der Unfallversicherung.</w:t>
      </w:r>
    </w:p>
    <w:p>
      <w:r>
        <w:rPr>
          <w:b/>
        </w:rPr>
        <w:t>E. 3.1</w:t>
      </w:r>
    </w:p>
    <w:p>
      <w:r>
        <w:t>Ist die versicherte Person infolge einer Berufskrankheit zu mindestens 10 Prozent invalid, so hat sie gemäss Art. 18 in Verbindung mit Art. 9 Abs. 3 UVG Anspruch auf eine Invalidenrente. Invalidität ist die voraussichtlich bleibende oder längere Zeit dauernde ganze oder teilweise Erwerbsunfähigkeit ( Art. 8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ATSG ).</w:t>
      </w:r>
    </w:p>
    <w:p>
      <w:r>
        <w:rPr>
          <w:b/>
        </w:rPr>
        <w:t>E. 3.2</w:t>
      </w:r>
    </w:p>
    <w:p>
      <w:r>
        <w:t>Liegen mehrere, einander nicht beeinflussende Gesundheitsschäden vor, wobei ein Teil der Schäden durch eine Berufskrankheit bedingt ist, ein anderer Teil jedoch durch eine nicht versicherte Krankheit entstanden ist, so sind die Folgen der versicherten Berufskrankheit für sich allein zu bewerten. Dies ist insbesondere dann der Fall, wenn die verschiedenen Schäden verschiedene Körperteile betreffen und sich damit die Krankheitsbilder nicht überschneiden (vgl. BGE 126 V 116 E. 3a).</w:t>
      </w:r>
    </w:p>
    <w:p>
      <w:r>
        <w:rPr>
          <w:b/>
        </w:rPr>
        <w:t>E. 3.3</w:t>
      </w:r>
    </w:p>
    <w:p>
      <w:r>
        <w:t>Nach Art. 19 Abs. 1 UVG entsteht der Rentenanspruch, wenn von der Fortsetzung der ärztlichen Behandlung keine namhafte Besserung des Gesundheitszustandes des Versicherten mehr erwartet werden kann und allfällige Eingliederungsmassnahmen der Invalidenversicherung (IV) abgeschlossen sind. Ist von der Fortsetzung der ärztlichen Behandlung keine namhafte Besserung des Gesundheitszustandes des Versicherten mehr zu erwarten, wird jedoch der Entscheid der IV über die berufliche Eingliederung erst später gefällt, so wird gemäss Art. 30 UVV vom Abschluss der ärztlichen Behandlung an vorübergehend eine Rente ausgerichtet; diese wird aufgrund der in diesem Zeitpunkt bestehenden Erwerbsunfähigkeit festgesetzt.</w:t>
      </w:r>
    </w:p>
    <w:p>
      <w:r>
        <w:rPr>
          <w:b/>
        </w:rPr>
        <w:t>E. 3.4</w:t>
      </w:r>
    </w:p>
    <w:p>
      <w:r>
        <w:t>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 BGE 128 V 29 E. 1 S. 30).</w:t>
      </w:r>
    </w:p>
    <w:p>
      <w:r>
        <w:rPr>
          <w:b/>
        </w:rPr>
        <w:t>E. 3.5</w:t>
      </w:r>
    </w:p>
    <w:p>
      <w:r>
        <w:t>Für die Ermittlung des Einkommens, welches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129 V 222 E. 4.3.1 S. 224; RKUV 2000 Nr. U 400 S. 381 E. 2a [U 297/99], 1993 Nr. U 168 S. 101 E. 3b [U 110/92]). Fehlen aussagekräftige konkrete Anhaltspunkte für die Einkommensermittlung, so ist auf Erfahrungs- und Durchschnittswerte zurückzugreifen, wie sie in der Schweizerischen Lohnstrukturerhebung enthalten sind (AHI 1999 S. 237 E. 3b S. 240 [I 377/98] mit Hinweis).</w:t>
      </w:r>
    </w:p>
    <w:p>
      <w:r>
        <w:rPr>
          <w:b/>
        </w:rPr>
        <w:t>E. 3.6</w:t>
      </w:r>
    </w:p>
    <w:p>
      <w:r>
        <w:t>Sind Validen- und Invalideneinkommen ausgehend von demselben Tabellenlohn zu berechnen, erübrigt sich deren genaue Ermittlung. Diesfalls entspricht der Invaliditätsgrad nach der allgemeinen Methode des Einkommensvergleichs - vorbehältlich eines allfälligen Abzuges im Sinne von BGE 126 V 75 E. 5 S. 78 - dem Grad der Arbeitsunfähigkeit (Urteil I 629/05 vom 16. März 2006, E. 5.2.3 mit Hinweisen).</w:t>
      </w:r>
    </w:p>
    <w:p>
      <w:r>
        <w:rPr>
          <w:b/>
        </w:rPr>
        <w:t>E. 4.1</w:t>
      </w:r>
    </w:p>
    <w:p>
      <w:r>
        <w:t>Es ist unbestritten, dass bezüglich der Folgen der Berufskrankheit nach dem 1. Januar 2005 von einer Fortsetzung der ärztlichen Behandlung keine namhafte Verbesserung des Gesundheitszustandes mehr zu erwarten war, sondern dass es aus medizinischer Sicht voraussichtlich bei der Nichteignungsverfügung vom 29. Januar 2004 bleiben wird. Vorinstanz und Beschwerdegegnerin gingen davon aus, dass der Beschwerdeführer im Rahmen dieser Nichteignungsverfügung - alleine bezogen auf die Folgen der Berufskrankheit - voll arbeitsfähig ist; der Versicherte bestreitet diese Annahme im bundesgerichtlichen Verfahren nicht mehr.</w:t>
      </w:r>
    </w:p>
    <w:p>
      <w:r>
        <w:rPr>
          <w:b/>
        </w:rPr>
        <w:t>E. 4.2</w:t>
      </w:r>
    </w:p>
    <w:p>
      <w:r>
        <w:t>Der Beschwerdeführer macht geltend, sein Valideneinkommen betrage mindestens Fr. 84'000.-. Er geht damit implizit davon aus, dass er ohne Gesundheitsschaden seine bisherige Tätigkeit fortgesetzt hätte. Dem kann jedoch nicht gefolgt werden. Aus den Akten ergibt sich, dass er seine Stelle nicht aufgrund gesundheitlicher Probleme, sondern wegen seinem Verhalten gegenüber seinen Vorgesetzten und gegenüber anderen Mitarbeitern verloren hat. Es ist jedoch davon auszugehen, dass er ohne Gesundheitsschaden in einem anderen Betrieb der Metallbe- und -verarbeitungsbranche eine neue Stelle gefunden hätte. Zur Bestimmung des Valideneinkommens sind daher die Zahlen der Schweizerischen Lohnstrukturerhebung (LSE), TA 1, Zeile "Metallbe- und -verarbeitung" beizuziehen. Da der Versicherte über ein Diplom der Maschinenschule Y.________ als Metallfach-Schlosser verfügt, ist dabei von einem Lohn im Anforderungsniveau 3 "Berufs- und Fachkenntnisse vorausgesetzt" auszugehen.</w:t>
      </w:r>
    </w:p>
    <w:p>
      <w:r>
        <w:rPr>
          <w:b/>
        </w:rPr>
        <w:t>E. 4.3</w:t>
      </w:r>
    </w:p>
    <w:p>
      <w:r>
        <w:t>Dem Beschwerdeführer ist es aufgrund der Nichteignungsverfügung untersagt, Tätigkeiten auszuführen, bei denen er Schweissräuchen und -gasen ausgesetzt ist. Bei seiner zuletzt ausgeübten Tätigkeit als Blechbieger musste er nicht mehr schweissen. Daraus folgt, dass die Metallbe- und -verarbeitungsbranche, mithin die Branche, für die der Versicherte über einen Fähigkeitsausweis verfügt, Stellen anbietet, welche trotz der Nichteignungsverfügung für ihn in Frage kommen. Daran ändert nichts, dass der letzte Arbeitsplatz offenbar zu nahe bei den Arbeitsplätzen lag, an denen geschweisst wurde und der Versicherte weiterhin schädlichen Immissionen ausgesetzt war. Das Invalideneinkommen ist daher ebenfalls aufgrund der LSE, TA 1, Zeile "Metallbe- und verarbeitung", im Anforderungsniveau 3 zu bestimmen.</w:t>
      </w:r>
    </w:p>
    <w:p>
      <w:r>
        <w:rPr>
          <w:b/>
        </w:rPr>
        <w:t>E. 4.4</w:t>
      </w:r>
    </w:p>
    <w:p>
      <w:r>
        <w:t>Da Validen- und Invalideneinkommen somit aufgrund desselben Tabellenlohns zu ermitteln sind und der Beschwerdeführer im Rahmen der Nichteignungsverfügung voll arbeitsfähig ist, wäre er nur dann in einem rentenbegründenden Ausmass invalid, wenn sich beim Invalideneinkommen ein Abzug im Sinne von BGE 126 V 75 E. 5 S. 78 von mindestens 10 % rechtfertigen würde (vgl. E. 3.6 hievor). Ein solcher Abzug drängt sich vorliegend weder aufgrund des Alters (der Versicherte war zum massgebenden Zeitpunkt erst 50 Jahre alt) noch aufgrund der Nationalität bzw. Aufenthaltskategorie (der Versicherte verfügt über eine Niederlassungsbewilligung der Kategorie C) auf. Zudem ist nicht nachvollziehbar, weshalb er aus sprachlichen Gründen mit einer Lohneinbusse zu rechnen hätte: Es ist nicht ersichtlich, dass seine sprachlichen Fähigkeiten bei der ehemaligen Arbeitgeberin nicht genügt hätten; jedenfalls konnte er sich mit den Aussendienstmitarbeitern der SUVA ohne Übersetzer verständigen. Fraglich ist folglich einzig, ob er aufgrund der Einschränkungen durch die Nichteignungsverfügung lohnmässig benachteiligt ist; die Frage kann, da diese Benachteiligung jedenfalls nicht einen Abzug von mindestens 10 % rechtfertigt, offenbleiben.</w:t>
      </w:r>
    </w:p>
    <w:p>
      <w:r>
        <w:rPr>
          <w:b/>
        </w:rPr>
        <w:t>E. 4.5</w:t>
      </w:r>
    </w:p>
    <w:p>
      <w:r>
        <w:t>Vorinstanz und Beschwerdegegnerin haben somit einen Anspruch des Beschwerdeführers auf eine Invalidenrente zu Recht verneint.</w:t>
      </w:r>
    </w:p>
    <w:p>
      <w:r>
        <w:rPr>
          <w:b/>
        </w:rPr>
        <w:t>E. 5</w:t>
      </w:r>
    </w:p>
    <w:p>
      <w:r>
        <w:t>Die Gerichtskosten sind dem Beschwerdeführer als unterliegender Partei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