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8C_422/2025 vom 15. September 2025</w:t>
      </w:r>
    </w:p>
    <w:p>
      <w:r>
        <w:t>Bundesgericht, 2025-09-15, DE</w:t>
      </w:r>
    </w:p>
    <w:p>
      <w:r>
        <w:rPr>
          <w:b/>
        </w:rPr>
        <w:t xml:space="preserve">Quelle: </w:t>
      </w:r>
      <w:r>
        <w:t>https://mcp.opencaselaw.ch/entscheid/bger_8C_422_2025</w:t>
      </w:r>
    </w:p>
    <w:p>
      <w:r>
        <w:t>FR: TF 8C_422/2025 du 15 septembre 2025</w:t>
      </w:r>
    </w:p>
    <w:p>
      <w:r>
        <w:t>IT: TF 8C_422/2025 del 15 settembre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9. Juli 2025 die vom Beschwerdegegner gestützt auf Art. 30 Abs. 1 lit. c und Abs. 3 AVIG in Verbindung mit Art. 20a Abs. 3 AVIV vorgenommene Einstellung in der Anspruchsberechtigung auf Arbeitslosentaggelder von vier Tagen. Dabei legte sie in Würdigung der Akten insbesondere dar, weshalb die zwischen der Kündigung des Arbeitsverhältnisses vom 24. Juni 2024 und der Beendigung desselben per 31. Juli 2024 unternommenen Arbeitsbemühungen (vier schriftliche Bewerbungen und Kontaktaufnahme mit einem Stellenvermittlungsbüro) als unzureichend gelten müssten und damit eine Einstellung in der Anspruchsberechtigung im vorgenommenen Umfang gerechtfertigt erscheine.</w:t>
      </w:r>
    </w:p>
    <w:p>
      <w:r>
        <w:rPr>
          <w:b/>
        </w:rPr>
        <w:t>E. 3</w:t>
      </w:r>
    </w:p>
    <w:p>
      <w:r>
        <w:t>Der Beschwerdeführer setzt sich mit diesen entscheidwesentlichen Erwägungen nicht hinreichend auseinander. Stattdessen beruft er sich auf einen von der Vorinstanz nicht beurteilten Zeitraum. So sind für die vorliegende Streitigkeit insbesondere seine Arbeitsbemühungen ab 1. August 2024 ohne Belang, worauf bereits das kantonale Gericht verwiesen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womit das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