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8C_422/2011 vom 5. Juni 2012</w:t>
      </w:r>
    </w:p>
    <w:p>
      <w:r>
        <w:t>Bundesgericht, 2012-06-05, FR</w:t>
      </w:r>
    </w:p>
    <w:p>
      <w:r>
        <w:rPr>
          <w:b/>
        </w:rPr>
        <w:t xml:space="preserve">Quelle: </w:t>
      </w:r>
      <w:r>
        <w:t>https://mcp.opencaselaw.ch/entscheid/bger_8C_422_2011</w:t>
      </w:r>
    </w:p>
    <w:p>
      <w:r>
        <w:t>FR: TF 8C_422/2011 du 5 juin 2012</w:t>
      </w:r>
    </w:p>
    <w:p>
      <w:r>
        <w:t>IT: TF 8C_422/2011 del 5 giugno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Selon l' art. 25 LPGA , les prestations indûment touchées doivent être restituées (al. 1, 1ère phrase).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 ou d'une reconsidération (cf. art. 53 al. 2 LPGA ) de la décision - formelle ou non - par laquelle les prestations en cause ont été allouées ( ATF 130 V 318 consid. 5.2 p. 319 et les références).</w:t>
      </w:r>
    </w:p>
    <w:p>
      <w:r>
        <w:rPr>
          <w:b/>
        </w:rPr>
        <w:t>E. 2.2</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 art. 53 al. 2 LPGA ).</w:t>
      </w:r>
    </w:p>
    <w:p>
      <w:r>
        <w:rPr>
          <w:b/>
        </w:rPr>
        <w:t>E. 2.3</w:t>
      </w:r>
    </w:p>
    <w:p>
      <w:r>
        <w:t>Le droit de demander la restitution s'éteint un an après le moment où l'institution a eu connaissance du fait, mais au plus tard cinq ans après le versement de la prestation (art. 25 al. 2, 1ère phrase, LPGA).</w:t>
      </w:r>
    </w:p>
    <w:p>
      <w:r>
        <w:rPr>
          <w:b/>
        </w:rPr>
        <w:t>E. 3.1</w:t>
      </w:r>
    </w:p>
    <w:p>
      <w:r>
        <w:t>La cour cantonale a relevé que les déclarations de l'assurée n'avaient pas été jugées crédibles par le Tribunal de police. En outre, L.________ avait modifié sa version initiale des faits devant la Cour de cassation pénale. La prénommée alléguait désormais que P.________ n'était "responsable de sa chute que dans la mesure où le fait dommageable serait survenu en raison de la brutalité de la rupture et du comportement de l'intéressé. En d'autres termes, ce serait sous le coup de l'émotion qu'elle serait tombée, de son propre fait. La chute serait survenue en un lieu indéterminé qui peut avoir été l'escalier de son propre logement plutôt que celui de P.________". Devant ces déclarations contradictoires, la cour cantonale a considéré que la survenance d'un événement accidentel le 16 septembre 2006 n'était pas établie au degré de la vraisemblance prépondérante. Rappelant l'exigence pour un assuré d'apporter la preuve d'un accident pour pouvoir prétendre aux prestations LAA, elle a retenu que l'octroi des prestations était entachée d'une inexactitude manifeste. Enfin, la Vaudoise avait respecté le délai de prescription relatif d'un an, respectivement celui absolu de cinq ans, en rendant une décision de restitution le 8 février 2010, de sorte que celle-ci était fondée à réclamer à l'assurée le remboursement de la totalité des prestations qui lui avaient été allouées.</w:t>
      </w:r>
    </w:p>
    <w:p>
      <w:r>
        <w:rPr>
          <w:b/>
        </w:rPr>
        <w:t>E. 3.2</w:t>
      </w:r>
    </w:p>
    <w:p>
      <w:r>
        <w:t>Pour la recourante, la juridiction cantonale n'était pas fondée à remettre en cause l'existence d'un accident sur la base de l'appréciation des faits par le juge pénal. Les nombreux certificats médicaux au dossier corroboraient sa version d'un événement accidentel. Le docteur F.________ de l'hôpital W.________ avait attesté la présence de dermabrasions et de contusions diverses. Les docteurs A.________ et B.________ avaient attribué de "façon certaine" les plaintes et les troubles qu'elle présentait à l'accident du 16 septembre 2006 (voir leur rapport d'expertise du 1er février 2008 établi à la demande de la Vaudoise). En tout état de cause, le juge pénal n'avait jamais mis en doute le fait qu'elle avait chuté dans les escaliers, événement qui avait causé ses atteintes à la santé physique et psychique. Par ailleurs, c'était à tort que les juges cantonaux avaient écarté l'exception de la prescription. La Vaudoise savait que sa version des événements était contestée par P.________ avant le prononcé du premier jugement pénal. Elle-même n'avait jamais eu l'intention de tromper l'assurance et était de bonne foi.</w:t>
      </w:r>
    </w:p>
    <w:p>
      <w:r>
        <w:rPr>
          <w:b/>
        </w:rPr>
        <w:t>E. 4</w:t>
      </w:r>
    </w:p>
    <w:p>
      <w:r>
        <w:t>Dans le cas particulier, seule la voie de la révision procédurale au sens de l' art. 53 al. 1 LPGA entre en ligne de compte.</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 ATF 127 V 353 consid. 5b p. 358 et les références; arrêts 8F_9/2010 du 10 mars 2011 consid. 3.1; 8C_934/2009 du 24 février 2010 consid. 2.1).</w:t>
      </w:r>
    </w:p>
    <w:p>
      <w:r>
        <w:rPr>
          <w:b/>
        </w:rPr>
        <w:t>E. 5.1</w:t>
      </w:r>
    </w:p>
    <w:p>
      <w:r>
        <w:t>Il ressort du jugement cantonal que L.________ est revenue sur ses déclarations quant aux circonstances de sa chute dans les escaliers le 16 septembre 2006 devant la Cour de cassation pénale. Il n'y est plus question d'une agression commise par P.________ qui l'aurait rouée de coups et poussée dans les escaliers. Elle dit être tombée toute seule. Même si dans son recours, l'assurée présente un rappel des faits dans lequel elle indique derechef avoir chuté à la suite de violences physiques perpétrés par son ex-ami, elle ne discute pas du tout les constatations cantonales - pourtant essentielles pour l'issue du litige - selon lesquelles elle a modifié ses allégations dans le sens d'une simple chute dans les escaliers. Aussi, n'y a-t-il aucune raison de s'écarter sur ce point de l'état de fait établi par la juridiction cantonale.</w:t>
      </w:r>
    </w:p>
    <w:p>
      <w:r>
        <w:rPr>
          <w:b/>
        </w:rPr>
        <w:t>E. 5.2</w:t>
      </w:r>
    </w:p>
    <w:p>
      <w:r>
        <w:t>Comme l'ont rappelé à juste titre les premiers juges, il appartient à l'assuré de rendre plausible que les éléments d'un accident tel qu'il est défini par la loi et la jurisprudence sont réunis. En matière d'assurance-accidents, les explications d'un assuré sur le déroulement d'un fait allégué sont au bénéfice d'une présomption de vraisemblance. La recourante ayant rectifié sa version initiale des événements survenus le 16 septembre 2006, ses déclarations ultérieures constituent sans aucun doute un moyen de preuve nouveau. En effet, l'intimée ne disposait à l'époque d'aucun élément de preuve dont elle pouvait déduire qu'en réalité, il n'y avait pas eu d'agression. A lui seul, le témoignage contraire de l'agresseur présumé n'y suffisait pas. On doit toutefois admettre avec la recourante que ses nouvelles déclarations permettent uniquement d'établir qu'elle n'a pas été agressée par son ex-ami qui l'aurait ensuite poussée dans les escaliers. On ne voit en revanche aucun motif de remettre en cause le fait qu'elle s'est blessée ce jour-là en tombant dans les escaliers.</w:t>
      </w:r>
    </w:p>
    <w:p>
      <w:r>
        <w:rPr>
          <w:b/>
        </w:rPr>
        <w:t>E. 5.3</w:t>
      </w:r>
    </w:p>
    <w:p>
      <w:r>
        <w:t>D'après les documents médicaux au dossier, les conséquences de cette chute ont consisté en des dermabrasions et des contusions sur différentes parties du corps. Pour ces atteintes, les médecins du Centre hospitalier Z.________ ont prescrit une incapacité de travail de cinq jours. On ignore si celle-ci a été prolongée. Il semble également que l'assurée ait effectué des séances de physiothérapie pour des douleurs à épaule gauche en rapport avec sa chute (voir le rapport du docteur G.________ du 25 mai 2007). Par la suite, son incapacité de travail a été justifiée par l'apparition de troubles psychiques liés au contexte d'une agression; ces troubles ont notamment donné lieu à un suivi psychiatrique (voir les rapports médicaux intermédiaires de la doctoresse S.________). Or, sur le vu des nouvelles déclarations de l'assurée, la responsabilité de l'intimée aurait dû se limiter à la prise en charge du traitement médical et de l'incapacité de travail résultant des atteintes somatiques précitées. Il s'ensuit que les prestations d'assurance allouées à raison des troubles psychiques diagnostiqués et de leurs suites l'ont été à tort, et que la Vaudoise est fondée à en réclamer la restitution.</w:t>
      </w:r>
    </w:p>
    <w:p>
      <w:r>
        <w:rPr>
          <w:b/>
        </w:rPr>
        <w:t>E. 5.4</w:t>
      </w:r>
    </w:p>
    <w:p>
      <w:r>
        <w:t>En ce qui concerne l'exception de la prescription soulevée par la recourante, elle est manifestement mal fondée, la décision de restitution litigieuse étant intervenue quelques mois à peine après le prononcé du jugement de la Cour de cassation pénale.</w:t>
      </w:r>
    </w:p>
    <w:p>
      <w:r>
        <w:rPr>
          <w:b/>
        </w:rPr>
        <w:t>E. 5.5</w:t>
      </w:r>
    </w:p>
    <w:p>
      <w:r>
        <w:t>Dans la mesure où la Vaudoise a pris en considération la totalité des prestations versées alors que seule l'indemnisation des troubles psychiques est indue, il convient d'annuler le jugement attaqué ainsi que la décision sur opposition et de renvoyer la cause à l'assureur-accidents pour qu'il rende une nouvelle décision de restitution à l'aune des considérants qui précèdent. A ce stade, l'examen de la bonne foi de l'assurée, qui a été niée aussi bien par l'intimée que par la juridiction cantonale est prématurée. Au demeurant, cette question doit faire l'objet d'une décision distincte de celle de la restitution ( art. 25 al. 1 2 ème phrase LPGA).</w:t>
      </w:r>
    </w:p>
    <w:p>
      <w:r>
        <w:t>Le recours doit être partiellement admis en ce sens.</w:t>
      </w:r>
    </w:p>
    <w:p>
      <w:r>
        <w:rPr>
          <w:b/>
        </w:rPr>
        <w:t>E. 6</w:t>
      </w:r>
    </w:p>
    <w:p>
      <w:r>
        <w:t>Vu l'issue du litige, il se justifie de répartir les frais judiciaires à raison de 4/5 à la charge de la recourante et de 1/5 à la charge de l'intimée ( art. 66 al. 1 LTF ). Cette dernière versera à la recourante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