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422/2009 vom 30. November 2009</w:t>
      </w:r>
    </w:p>
    <w:p>
      <w:r>
        <w:t>Bundesgericht, 2009-11-30, DE</w:t>
      </w:r>
    </w:p>
    <w:p>
      <w:r>
        <w:rPr>
          <w:b/>
        </w:rPr>
        <w:t xml:space="preserve">Quelle: </w:t>
      </w:r>
      <w:r>
        <w:t>https://mcp.opencaselaw.ch/entscheid/bger_8C_422_2009</w:t>
      </w:r>
    </w:p>
    <w:p>
      <w:r>
        <w:t>FR: TF 8C 422/2009 du 30 novembre 2009</w:t>
      </w:r>
    </w:p>
    <w:p>
      <w:r>
        <w:t>IT: TF 8C 422/2009 del 30 novembre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Nach der Rechtsprechung des Bundesgerichts begründet die Verweigerung der unentgeltlichen Verbeiständung im kantonalen Verfahren einen nicht wieder gutzumachenden Nachteil im Sinne von Art. 93 Abs. 1 lit. a BGG ( BGE 133 IV 335 E. 4 S. 338; Urteile 8C_530/2008 vom 25. September 2008 E. 2.3; 2C_143/208 vom 10. März 2008 E. 2; 4A_350/2007 vom 3. Oktober 2007 E. 2; 5A_108/2007 vom 11. Mai 2007 E. 1.2).</w:t>
      </w:r>
    </w:p>
    <w:p>
      <w:r>
        <w:rPr>
          <w:b/>
        </w:rPr>
        <w:t>E. 1.3</w:t>
      </w:r>
    </w:p>
    <w:p>
      <w:r>
        <w:t>Nicht jeder im Rahmen der einmal bewilligten unentgeltlichen Rechtspflege getroffene Entscheid stellt jedoch eine anfechtbare Zwischenverfügung gemäss Art. 93 Abs. 1 lit. a BGG dar. Grundsätzlich ist eine Beschwerde gegen eine selbständig eröffnete Zwischenverfügung gemäss Art. 93 Abs. 1 lit. a BGG nur zulässig, wenn der Zwischenentscheid einen nicht wieder gutzumachenden Nachteil bewirken kann. Es muss sich dabei um einen Nachteil rechtlicher, nicht bloss tatsächlicher Natur handeln, der nicht durch ein späteres Endurteil korrigiert werden kann ( BGE 133 IV 335 E. 4 S. 338 mit weiteren Hinweisen). So droht beispielsweise in der Regel kein rechtlicher Nachteil, wenn das Gesuch um Wechsel des unentgeltlichen Verteidigers im Strafverfahren abgelehnt wird, weil der Beschwerdeführer mit dem alten Verteidiger weiterhin anwaltlich vertreten ist ( BGE 134 IV 335 E. 4 S. 338, 126 I 207 E. 2b S. 211; Urteile des Bundesgerichts 1B_7/2009 vom 16. März 2009 E. 1.1 - 1.4; 1B_245/2008 vom 11. November 2008 E. 2 und 3).</w:t>
      </w:r>
    </w:p>
    <w:p>
      <w:r>
        <w:rPr>
          <w:b/>
        </w:rPr>
        <w:t>E. 2</w:t>
      </w:r>
    </w:p>
    <w:p>
      <w:r>
        <w:t>Beim angefochtenen Entscheid handelt es sich um einen selbstständig eröffneten Zwischenentscheid. Gegenstand ist indessen nicht die grundsätzliche Ablehnung der Verbeiständung, vielmehr wurde diese für das Verwaltungsverfahren bewilligt. Mit der angefochtenen Verfügung wird lediglich ein einzelner Aufwand als nicht notwendig qualifiziert. Es ist daher zu prüfen, ob auch auf die Beschwerde gegen einen solchen Entscheid eingetreten werden kann, zumal diese nicht vom Rechtsvertreter sondern von der Partei selbst erhoben worden ist.</w:t>
      </w:r>
    </w:p>
    <w:p>
      <w:r>
        <w:rPr>
          <w:b/>
        </w:rPr>
        <w:t>E. 2.1</w:t>
      </w:r>
    </w:p>
    <w:p>
      <w:r>
        <w:t>Der unentgeltliche Vertreter steht in einem öffentlich-rechtlichen Verhältnis zum Staat ( BGE 132 V 200 E. 5.1.4 S. 205). Er wird mit der Bewilligung ernannt und im Endentscheid beziehungsweise bei Abschluss des Verwaltungsverfahrens honoriert. Der Staat ist Schuldner, der Anwalt Gläubiger der Honorarforderung. Davon gehen auch die im sozialversicherungsrechtlichen Verwaltungsverfahren anwendbaren Bestimmungen aus ( Art. 12a ATSV i.V.m. Art. 14 des Reglements über die Kosten und Entschädigungen vor dem Bundesverwaltungsgericht (VGKE, SR 173.320.2). Der Rechtsvertreter hat sein Mandat daher im Rahmen dieser offiziellen Tätigkeit zu erfüllen, was unter anderem bedeutet, dass er keine unnötigen und überflüssigen Schritte unternimmt. Die Entscheidung darüber, was zur Erfüllung des vom Staat übertragenen Mandates angemessen ist, liegt alleine in der Verantwortung des Anwaltes.</w:t>
      </w:r>
    </w:p>
    <w:p>
      <w:r>
        <w:rPr>
          <w:b/>
        </w:rPr>
        <w:t>E. 2.2</w:t>
      </w:r>
    </w:p>
    <w:p>
      <w:r>
        <w:t>Das Gericht beziehungsweise analog die verfügende Behörde setzt die Entschädigung für den unentgeltlichen Vertreter aufgrund einer abschliessenden Beurteilung des notwendigen Zeitaufwandes ( Art. 10 VGKE ) fest. Vor Abschluss des Auftrags kann der unentgeltliche Vertreter das Honorar nicht fordern (vgl. entsprechend für den privatrechtlichen Auftrag an den Anwalt BGE 126 II 254 E. 4b S. 254; FRANÇOIS BOHNET/VINCENT MARTINET, Droit de la profession d'avocat, Berne 2009, Rz. 2976 m.w.N.). Er - oder die von ihm vertretene Partei - haben zudem im Rahmen der Mandatsführung keinen Anspruch darauf, dass ihnen verbindlich mitgeteilt wird, ob ein einzelner Schritt als notwendig erachtet wird oder nicht. Dies auch angesichts des Umstandes, dass die Honorarforderung a posteriore, global und in Anbetracht der gesamten Aktivitäten des Anwalts beurteilt werden muss. Wenn die Verwaltung auf die konkrete Anfrage des Anwalts vom 18. November 2008 anstelle einer verfügungsweisen Verweigerung der "Kostengutsprache" für eine einzelne Vertretungshandlung geantwortet hätte, dass auf diese erst später einzugehen sei, hätte daher keine Rechtsverweigerung vorgelegen.</w:t>
      </w:r>
    </w:p>
    <w:p>
      <w:r>
        <w:rPr>
          <w:b/>
        </w:rPr>
        <w:t>E. 2.3</w:t>
      </w:r>
    </w:p>
    <w:p>
      <w:r>
        <w:t>Die Höhe des aus der unentgeltlichen Prozessführung geschuldeten Honorars kann sodann nach Vorliegen des Endentscheids überprüft werden, ohne dass einem Beschwerdeführer dadurch ein nicht wieder gutzumachender Nachteil entsteht ( Art. 93 Abs. 3 BGG ). Ist der unentgeltliche Vertreter zur pflichtgemässen Mandatsführung im dargelegten Sinn verpflichtet, entsteht auch der von ihm vertretenen Partei kein nicht wieder gutzumachender rechtlicher Nachteil, wenn erst nach Mandatsabschluss über die Notwendigkeit einzelner Aufwandpositionen entschieden wird. Es liegt somit kein anfechtbarer Zwischenentscheid gemäss Art. 93 Abs. 1 lit. a BGG vor; auf die Beschwerde wird daher nicht eingetreten. Bei diesem Ergebnis kann offen bleiben, ob die Versicherte überhaupt selbst und nicht vielmehr nur der unentgeltliche Vertreter zur Beschwerde legitimiert gewesen wäre (SVR 2007 UV Nr. 16 S. 54 E. 2.1 mit Hinweisen = Urteil des Eidgenössischen Versicherungsgerichts U 63/04 vom 3. Oktober 2006; Urteil des Bundesgerichts M 2/06 vom 17. September 2007 E. 5.3.3).</w:t>
      </w:r>
    </w:p>
    <w:p>
      <w:r>
        <w:rPr>
          <w:b/>
        </w:rPr>
        <w:t>E. 3.1</w:t>
      </w:r>
    </w:p>
    <w:p>
      <w:r>
        <w:t>Die Beschwerdeführerin verlangt für das Verfahren vor Bundesgericht die Bewilligung der unentgeltlichen Prozessführung. Die Bewilligung setzt voraus, dass ein Verfahren nicht als aussichtslos zu beurteilen ist. Aussichtslos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129 I 129 E. 2.3.1 S. 135, 128 I 225 E. 2.5.3 S. 136 mit Hinweis).</w:t>
      </w:r>
    </w:p>
    <w:p>
      <w:r>
        <w:rPr>
          <w:b/>
        </w:rPr>
        <w:t>E. 3.2</w:t>
      </w:r>
    </w:p>
    <w:p>
      <w:r>
        <w:t>Gemäss Art. 42 Abs. 2 BGG ist die Beschwerde hinreichend zu begründen. Die Beschwerdeführerin hat sich vorliegend nicht dazu geäussert, weshalb das Bundesgericht auf ihr Begehren - ausnahmsweise - einzutreten habe, obwohl es sich beim angefochtenen Entscheid um einen selbständig eröffneten Zwischenentscheid des kantonalen Gerichts handelt, auf welche von Gesetzes wegen nicht ohne weiteres einzutreten ist (vgl. Erwägung 1). Bei dieser Ausgangslage war ein Obsiegen der Beschwerdeführerin mit ihrem materiellen Rechtsbegehren, es sei ihr auch für die Begleitung durch den Rechtsvertreter anlässlich der Haushaltsabklärung im verwaltungsinternen Verfahren die unentgeltliche Verbeiständung zu bewilligen, aussichtslos. Die beantragte unentgeltliche Prozessführung im Verfahren vor Bundesgericht kann daher nicht bewilligt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