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8C_422/2008 vom 11. Februar 2009</w:t>
      </w:r>
    </w:p>
    <w:p>
      <w:r>
        <w:t>Bundesgericht, 2009-02-11, IT</w:t>
      </w:r>
    </w:p>
    <w:p>
      <w:r>
        <w:rPr>
          <w:b/>
        </w:rPr>
        <w:t xml:space="preserve">Quelle: </w:t>
      </w:r>
      <w:r>
        <w:t>https://mcp.opencaselaw.ch/entscheid/bger_8C_422_2008</w:t>
      </w:r>
    </w:p>
    <w:p>
      <w:r>
        <w:t>FR: TF 8C_422/2008 du 11 février 2009</w:t>
      </w:r>
    </w:p>
    <w:p>
      <w:r>
        <w:t>IT: TF 8C_422/2008 del 11 febbraio 2009</w:t>
      </w:r>
    </w:p>
    <w:p>
      <w:pPr>
        <w:pStyle w:val="Heading2"/>
      </w:pPr>
      <w:r>
        <w:t>Erwägungen</w:t>
      </w:r>
    </w:p>
    <w:p>
      <w:r>
        <w:rPr>
          <w:b/>
        </w:rPr>
        <w:t>E. 1.1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Per il resto, di regola, il Tribunale federale applica d'ufficio il diritto ( art. 106 cpv. 1 LTF ). Esso non è vincolato né dagli argomenti sollevati nel ricorso né dai motivi addotti dall'autorità inferiore. Tenuto conto dell'esigenza di motivazione di cui all' art. 42 cpv. 1 e 2 LTF , sotto pena d'inammissibilità ( art. 108 cpv. 1 lett. b LTF ), il Tribunale federale esamina in linea di massima solo le censure sollevate, non essendo per contro tenuto a vagliare, come lo farebbe un'autorità di prima istanza, tutte le questioni giuridiche che si pongono, se queste ultime non sono sollevate in sede federale. La Corte federale esamina la violazione di diritti fondamentali e di disposizioni di diritto cantonale e intercantonale soltanto se il ricorrente ha sollevato e motivato tale censura ( art. 106 cpv. 2 LTF ; sulla portata di questo obbligo cfr. DTF 133 II 249 consid. 1.4.2 pag. 254; 133 IV 286 consid. 1.4 pag. 287; 130 I 26 consid. 2.1 pag. 31). Nuovi fatti e nuovi mezzi di prova, infine, possono essere addotti soltanto se ne dà motivo la decisione dell'autorità inferiore ( art. 99 cpv. 1 LTF ).</w:t>
      </w:r>
    </w:p>
    <w:p>
      <w:r>
        <w:rPr>
          <w:b/>
        </w:rPr>
        <w:t>E. 2</w:t>
      </w:r>
    </w:p>
    <w:p>
      <w:r>
        <w:t>Oggetto del contendere è la quantificazione del grado d'invalidità riconosciuto a M._________.</w:t>
      </w:r>
    </w:p>
    <w:p>
      <w:r>
        <w:rPr>
          <w:b/>
        </w:rPr>
        <w:t>E. 3.1</w:t>
      </w:r>
    </w:p>
    <w:p>
      <w:r>
        <w:t>L'autorità giudiziaria cantonale ha già esposto le norme legali e i principi giurisprudenziali disciplinanti la materia, rammentando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Essa ha pure ricordato le regole legali e giurisprudenziali riguardanti l'applicazione dei dati statistici dell'inchiesta svizzera sulla struttura dei salari (ISS), edita dall'Ufficio federale di statistica. A tale esposizione può essere fatto riferimento, non senza tuttavia ribadire che a norma dell' art. 16 LPGA ,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w:t>
      </w:r>
    </w:p>
    <w:p>
      <w:r>
        <w:rPr>
          <w:b/>
        </w:rPr>
        <w:t>E. 3.2</w:t>
      </w:r>
    </w:p>
    <w:p>
      <w:r>
        <w:t>Giova inoltre ricordare che conformemente ad un principio generale applicabile anche nel diritto delle assicurazioni sociali, all'assicurato incombe l'obbligo di ridurre il danno ( DTF 123 V 230 consid. 3c pag. 233; 117 V 275 consid. 2b pag. 278, 400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4b pag. 28 e sentenze ivi citate; Landolt, Das Zumutbarkeitsprinzip im schweizerischen Sozialversicherungsrecht, tesi Zurigo 1995, pag. 296 segg.). Non è quindi dato alcun diritto ad una rendita (superiore) se la persona interessata è in grado di percepire un reddito tale da escluderne (o limitarne) l'erogazione ( DTF 113 V 22 consid. 4a pag. 28; RCC 1968 pag. 434).</w:t>
      </w:r>
    </w:p>
    <w:p>
      <w:r>
        <w:rPr>
          <w:b/>
        </w:rPr>
        <w:t>E. 4.1</w:t>
      </w:r>
    </w:p>
    <w:p>
      <w:r>
        <w:t>Nella fattispecie, il ricorrente sostiene di aver diritto ad una rendita di invalidità del 100%. Malgrado la questione non sia stata sollevata in sede cantonale, egli da un lato fa valere di essere totalmente incapace al lavoro in qualsiasi attività che richiede l'utilizzo delle mani, postulando, dall'altro, l'assunzione agli atti di nuova documentazione, consistente di tre certificati allestiti, rispettivamente, il 22 settembre, il 23 e il 29 novembre 2007 dall'Ospedale X._________, e di una dichiarazione della responsabile della Y.________ del 26 febbraio 2008.</w:t>
      </w:r>
    </w:p>
    <w:p>
      <w:r>
        <w:rPr>
          <w:b/>
        </w:rPr>
        <w:t>E. 4.2</w:t>
      </w:r>
    </w:p>
    <w:p>
      <w:r>
        <w:t>Orbene, a norma dell' art. 99 cpv. 1 LTF , possono essere addotti nuovi fatti e nuovi mezzi di prova soltanto se ne dà motivo la decisione dell'autorità inferiore. Esclusi sono in particolare i fatti che si sono realizzati prima della pronuncia impugnata (i cosiddetti "unechte Noven"), così come i mezzi di prova che esistevano già in precedenza ( DTF 134 V 223 consid. 2.2.1 pag. 226; sentenza 4A_36/2008 del 18 febbraio 2008 consid. 4.1).</w:t>
      </w:r>
    </w:p>
    <w:p>
      <w:r>
        <w:rPr>
          <w:b/>
        </w:rPr>
        <w:t>E. 4.3</w:t>
      </w:r>
    </w:p>
    <w:p>
      <w:r>
        <w:t>Mediante sentenza 9C_40/2007 del 31 luglio 2007, pubblicata in SVR 2009 IV no. 10 pag. 21, questa Corte ha stabilito che la giurisprudenza del Tribunale federale relativa agli art. 105 cpv. 2 e 132 vOG, secondo la quale nelle liti in cui vi era cognizione limitata, rispettivamente nei casi con cognizione lata, dopo la decorrenza del termine per il ricorso oppure dopo la conclusione di un secondo scambio di scritti, nuovi mezzi di prova o nuovi fatti rilevanti potevano essere presentati solo se potevano giustificare una revisione ai sensi dell'art. 137 lett. b vOG ( DTF 127 V 353 ; sentenza del Tribunale federale delle assicurazioni I 600/00 del 10 dicembre 2001), andava applicata anche dopo l'entrata in vigore della LTF (sentenza citata 9C_40/2007 consid. 3.1).</w:t>
      </w:r>
    </w:p>
    <w:p>
      <w:r>
        <w:rPr>
          <w:b/>
        </w:rPr>
        <w:t>E. 4.4</w:t>
      </w:r>
    </w:p>
    <w:p>
      <w:r>
        <w:t>Il Tribunale federale ha finora lasciato aperta la questione di sapere se mezzi di prova (tempestivamente) trasmessi per la prima volta in ultima istanza vadano considerati fatti nuovi inammissibili anche nelle procedure rette dalla cognizione lata secondo gli art. 97 cpv. 2 e 105 cpv. 3 LTF (cfr. sentenze 8C_354/2007 del 4 agosto 2008, in SVR 2009 UV no. 3 pag. 9, consid. 3 e 8C_260/2007 del 31 ottobre 2007 consid. 2 in fine; nella sentenza 8C_82/2007 del 20 giugno 2007 consid 2.2 l'ammissibilità è tuttavia stata negata con riferimento a Hansjörg Seiler/Nicolas von Werdt/Andreas Güngerich, Kommentar zum Bundesgerichtsgesetz, Berna 2007, n. 4 all'art. 99; a questo proposito cfr. però anche Ulrich Meyer, in: Niggli/Uebersax/Wiprächtiger [a cura di], Basler Kommentar zum Bundesgerichtsgesetz, Basilea 2008, n. 9, 11 e 40 all'art. 99, secondo cui una tale esclusione non sarebbe compatibile ["kaum vereinbar"] con il principio del libero esame d'ufficio dei fatti e quindi sarebbe ammissibile solo in caso di violazione dell'obbligo di collaborare).</w:t>
      </w:r>
    </w:p>
    <w:p>
      <w:r>
        <w:rPr>
          <w:b/>
        </w:rPr>
        <w:t>E. 4.5</w:t>
      </w:r>
    </w:p>
    <w:p>
      <w:r>
        <w:t>In concreto, occorre osservare che tra i diversi medici che si sono occupati del caso esiste sostanziale concordanza sia a livello diagnostico sia per quanto riguarda la valutazione dell'incidenza delle turbe fisiche sulla capacità lavorativa dell'interessato. Da parte sua, l'insorgente non si confronta in alcun modo con i rapporti allestiti dagli stessi medici. Per quanto concerne la documentazione prodotta con il ricorso, i certificati dell'Ospedale X._________, che non fanno altro che attestare i dolori lamentati dal paziente, senza esprimersi sul carattere invalidante dei disturbi di natura funzionale a mani e braccia, e la dichiarazione della responsabile della Y.________, alla quale non può essere riconosciuto il necessario valore probatorio, hanno ben poca influenza sulle conclusioni chiare, complete e motivate cui sono giunti gli specialisti della Clinica X.________ e il dott. G.________, esperto in reumatologia e medico di circondario dell'INSAI. Inoltre, questi ultimi si sono esplicitamente espressi sull'esigenza di una riformazione professionale e la possibilità di svolgere, in misura completa, un'attività adeguata, ad esempio come custode, venditore, collaboratore di sorveglianza di video-schermi, magazziniere o interprete, vista la conoscenza di diverse lingue da parte del ricorrente. Infine, come osservato dal dott. K.________, specialista in reumatologia, e dal dott. E.________, medico assistente presso la Clinica X.________, nonostante le buone maniere, la disponibilità e la buona volontà dimostrate durante le visite mediche, sembra che M._________ sia impedito nel riprendere un'attività professionale confacente non tanto a causa dell'infortunio ai polsi, bensì piuttosto per i problemi di ordine psicosociale con i quali è confrontato.</w:t>
      </w:r>
    </w:p>
    <w:p>
      <w:r>
        <w:rPr>
          <w:b/>
        </w:rPr>
        <w:t>E. 4.6</w:t>
      </w:r>
    </w:p>
    <w:p>
      <w:r>
        <w:t>In considerazione di tali aspetti, la questione dell'ammissibilità dei nuovi fatti e dei nuovi mezzi di prova addotti in questa sede può pertanto essere lasciata aperta, poiché la censura sollevata, secondo la quale l'assicurato soffrirebbe di un'incapacità di lavoro totale e, di conseguenza, avrebbe diritto ad una rendita di invalidità del 100%, non è comunque fondata.</w:t>
      </w:r>
    </w:p>
    <w:p>
      <w:r>
        <w:rPr>
          <w:b/>
        </w:rPr>
        <w:t>E. 5.1</w:t>
      </w:r>
    </w:p>
    <w:p>
      <w:r>
        <w:t>In via subordinata, M._________ si avvale di un grado di deduzione del 25% sul reddito da invalido stabilito dalla Corte cantonale, a causa di limitazioni residue addebitabili al danno alla salute. Più precisamente, egli chiede una riduzione del 15% per i soli problemi fisici, del 5% per la nazionalità e del 5% per l'impossibilità di lavorare a tempo pieno.</w:t>
      </w:r>
    </w:p>
    <w:p>
      <w:r>
        <w:rPr>
          <w:b/>
        </w:rPr>
        <w:t>E. 5.2</w:t>
      </w:r>
    </w:p>
    <w:p>
      <w:r>
        <w:t>Nel giudizio impugnato, la Corte cantonale, dopo aver stabilito in fr. 50'317.72 il reddito da invalido calcolato sulla base della tabella TA1 dell'ISS 2006, ha confermato l'operato dell'amministrazione nell'ambito delle deduzioni per circostanze personali e professionali, ossia una riduzione del 15% per tenere conto della menomazione derivante dai postumi infortunistici e della nazionalità del ricorrente.</w:t>
      </w:r>
    </w:p>
    <w:p>
      <w:r>
        <w:rPr>
          <w:b/>
        </w:rPr>
        <w:t>E. 5.3</w:t>
      </w:r>
    </w:p>
    <w:p>
      <w:r>
        <w:t>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 sentenza 9C_83/2008 del 19 gennaio 2009 consid. 2.2). La questione di sapere se e in quale misura i salari fondati su dati statistici debbano essere ridotti in considerazione delle particolarità del caso dipende dall'insieme delle circostanze personali e professionali (limitazione addebitabile al danno alla salute, età, anni di servizio, nazionalità e tipo di permesso di dimora, grado di occupazione), criteri, questi, che l'amministrazione è tenuta a valutare globalmente, ritenuto che una deduzione massima del 25 % del salario statistico permette di tenere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 DTF 129 V 472 consid. 4.2.3 pag. 481; 126 V 75 consid. 5 b/cc e 6 pag. 80 seg.).</w:t>
      </w:r>
    </w:p>
    <w:p>
      <w:r>
        <w:rPr>
          <w:b/>
        </w:rPr>
        <w:t>E. 5.4</w:t>
      </w:r>
    </w:p>
    <w:p>
      <w:r>
        <w:t>Sulla base dei principi suesposti e della giurisprudenza citata nel giudizio cantonale, al quale si rinvia, si può ammettere che l'amministrazione, senza abuso o eccesso del proprio potere d'apprezzamento, ha correttamente valutato le circostanze personali e professionali dell'assicurato, procedendo a una riduzione del 15% sul reddito ipotetico da invalido. Non va dimenticato infatti che l'interessato è stato ritenuto capace di svolgere, a tempo pieno e con massimo rendimento, un'attività confacente al suo stato di salute. Orbene, la decisione del giudice di prime cure di confermare la posizione dell'istituto assicuratore è senz'altro difendibile. In conclusione, il ricorso risulta anche su questo punto infondato.</w:t>
      </w:r>
    </w:p>
    <w:p>
      <w:r>
        <w:rPr>
          <w:b/>
        </w:rPr>
        <w:t>E. 6.1</w:t>
      </w:r>
    </w:p>
    <w:p>
      <w:r>
        <w:t>Stante quanto precede, la pronuncia cantonale dev'essere confermata.</w:t>
      </w:r>
    </w:p>
    <w:p>
      <w:r>
        <w:rPr>
          <w:b/>
        </w:rPr>
        <w:t>E. 6.2</w:t>
      </w:r>
    </w:p>
    <w:p>
      <w:r>
        <w:t>Il ricorrente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 L'insorgente viene comunque avvisato che qualora la sua situazione finanziaria dovesse migliorare, egli sarà tenuto a risarcire la cassa del Tribunale, così come prescritto dall' art. 64 cpv. 4 LTF .</w:t>
      </w:r>
    </w:p>
    <w:p>
      <w:r>
        <w:rPr>
          <w:b/>
        </w:rPr>
        <w:t>E. 6.3</w:t>
      </w:r>
    </w:p>
    <w:p>
      <w:r>
        <w:t>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