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41/2021 vom 22. Juli 2021</w:t>
      </w:r>
    </w:p>
    <w:p>
      <w:r>
        <w:t>Bundesgericht, 2021-07-22, DE</w:t>
      </w:r>
    </w:p>
    <w:p>
      <w:r>
        <w:rPr>
          <w:b/>
        </w:rPr>
        <w:t xml:space="preserve">Quelle: </w:t>
      </w:r>
      <w:r>
        <w:t>https://mcp.opencaselaw.ch/entscheid/bger_8C_41_2021</w:t>
      </w:r>
    </w:p>
    <w:p>
      <w:r>
        <w:t>FR: TF 8C 41/2021 du 22 juillet 2021</w:t>
      </w:r>
    </w:p>
    <w:p>
      <w:r>
        <w:t>IT: TF 8C 41/2021 del 22 luglio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Strittig ist, ob die Vorinstanz Bundesrecht verletzte, indem sie die mit BGE 145 V 215 erfolgte Rechtsprechungsänderung als Neuanmeldungsgrund anerkannte.</w:t>
      </w:r>
    </w:p>
    <w:p>
      <w:r>
        <w:rPr>
          <w:b/>
        </w:rPr>
        <w:t>E. 3.1</w:t>
      </w:r>
    </w:p>
    <w:p>
      <w:r>
        <w:t>Das kantonale Gericht hat die gesetzlichen Bestimmungen und die von der Rechtsprechung entwickelten Grundsätze zum Anspruch auf Eingliederungsmassnahmen ( Art. 8 Abs. 1 IVG ) und eine Invalidenrente ( Art. 28 Abs. 1 IVG ) zutreffend dargelegt. Gleiches gilt hinsichtlich der Wiedergabe der bei einer Neuanmeldung analog zur Revision anwendbaren Regeln ( Art. 17 Abs. 1 ATSG ; Art. 87 Abs. 2 und 3 IVV ; BGE 134 V 131 E. 3; 133 V 108 E. 5; 130 V 71 ; 117 V 198 E. 3a). Richtig sind auch die Ausführungen zur Beurteilung der verbliebenen Arbeitsfähigkeit im Rahmen eines strukturierten Beweisverfahrens anhand der sogenannten Standardindikatoren bei psychischen Erkrankungen ( BGE 141 V 281 ; 143 V 409 und 418). Darauf wird verwiesen.</w:t>
      </w:r>
    </w:p>
    <w:p>
      <w:r>
        <w:rPr>
          <w:b/>
        </w:rPr>
        <w:t>E. 3.2</w:t>
      </w:r>
    </w:p>
    <w:p>
      <w:r>
        <w:t>Zu ergänzen bzw. zu wiederholen ist, dass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 BGE 124 V 265 E. 3c; 99 V 28 E. 2; Urteile 8C_608/2018 vom 11. Februar 2019 E. 3.2.1 und 9C_620/2017 vom 10. April 2018 E. 2.2), fallen gelassen hat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 Diese neue Rechtsprechung ist auf alle im Zeitpunkt der Praxisänderung noch nicht erledigten Fälle anzuwenden (Urteil 9C_132/2020 vom E. 2.2 mit Hinweis, zur Publikation vorgesehen).</w:t>
      </w:r>
    </w:p>
    <w:p>
      <w:r>
        <w:rPr>
          <w:b/>
        </w:rPr>
        <w:t>E. 4</w:t>
      </w:r>
    </w:p>
    <w:p>
      <w:r>
        <w:t>Das kantonale Gericht schloss die Glaubhaftmachung einer wesentliche Verschlechterung respektive einer erheblichen Veränderung der tatsächlichen Verhältnisse innerhalb des massgebenden Vergleichszeitraums (vgl. dazu BGE 133 V 108 ) aus und verneinte hinsichtlich des Neuanmeldungsgesuchs vom 17. März 2020 mit der Beschwerdeführerin die Eintretensvoraussetzung im Sinne von Art. 87 Abs. 3 in Verbindung mit Abs. 2 IVV. Insoweit blieb der rechtserhebliche Sachverhalt gemäss angefochtenem Entscheid unbestritten.</w:t>
      </w:r>
    </w:p>
    <w:p>
      <w:r>
        <w:rPr>
          <w:b/>
        </w:rPr>
        <w:t>E. 5.1</w:t>
      </w:r>
    </w:p>
    <w:p>
      <w:r>
        <w:t>Entgegen der IV-Stelle vertrat die Vorinstanz jedoch den Standpunkt, die Rechtsprechungsänderung nach BGE 145 V 215 bilde entsprechend der kantonalen Praxis einen Neuanmeldungsgrund. Im Gegensatz zu den Praxisänderungen nach BGE 130 V 352 und 141 V 281 sowie nach BGE 143 V 409 und 418, welche in erster Linie eine neue Definition des Beweisverfahrens und dessen Anwendbarkeit zum Gegenstand gehabt hätten, habe das Bundesgericht in Bezug auf diagnostizierte Abhängigkeitssyndrome beziehungsweise Substanzstörungen mit BGE 145 V 215 "eine vollständige Kehrtwende" vollzogen. Aus einem "Nein" sei ein "Ja" geworden. Es würde zu einer nicht hinnehmbaren Rechtsungleichheit führen, wenn Personen, die unter einem primären Abhängigkeitssyndrom litten und deren Leistungsgesuch unter der früheren Praxis abgelehnt wurde, jetzt und für alle Zukunft die Möglichkeit verwehrt bliebe, ihren Anspruch unter der neuen Rechtsprechung überprüfen zulassen.</w:t>
      </w:r>
    </w:p>
    <w:p>
      <w:r>
        <w:rPr>
          <w:b/>
        </w:rPr>
        <w:t>E. 5.2</w:t>
      </w:r>
    </w:p>
    <w:p>
      <w:r>
        <w:t>Hiegegen wendet die Beschwerdeführerin ein, die Anwendung der Praxisänderung von BGE 145 V 215 begründe nicht automatisch einen Rechtsanspruch auf Leistungen der Invalidenversicherung bei Vorhandensein einer Suchtkrankheit. Die im sozialversicherungsrechtlichen Kontext geltende Schadenminderungspflicht gelange auch bei versicherten Personen zur Anwendung, die unter einem Abhängigkeitssyndrom litten. Auch von diesen könne die aktive Teilnahme an zumutbaren medizinischen Behandlungen verlangt werden ( Art. 7 Abs. 2 lit. d IVG ). Auch bei primären Abhängigkeitssyndromen bleibe nach BGE 145 V 215 eine sorgfältige Leistungsprüfung im Einzelfall nach Massgabe des strukturierten Beweisverfahrens gemäss BGE 141 V 281 unerlässlich. Das tiefe Beweismass des blossen Glaubhaftmachens eines Neuanmeldungsgrundes lasse einen Eintretensentscheid nicht als derart unwahrscheinlich erscheinen, um in Anwendung der Ausnahmeregelung für das Eintreten auf ein Neuanmeldungsgesuch allein die Praxisänderung von BGE 145 V 215 genügen zu lassen. Im gleichen Sinne argumentiert das BSV. Aus der geänderten Praxis nach BGE 145 V 215 folge nicht per se ein Anspruch auf eine Invalidenrente. Eine Verletzung des Rechtsgleichheitsgebots liege bei versicherten Personen, deren Leistungsgesuch aufgrund einer primären Suchtkrankheit abgelehnt wurde, nicht vor. Auch bei Abhängigkeitssyndromen bestehe - wie bei den meisten Erkrankungen - kein direkter Zusammenhang zwischen Diagnose und Arbeitsunfähigkeit bzw. Invalidität. Mit der Neuanmeldung werde nicht direkt ein Rentenanspruch ausgelöst. Doch genüge für eine nicht schlechterdings unmöglich erscheinende Neubeurteilung bereits die Glaubhaftmachung einer Tatsachenänderung. Die Beschwerdeführerin habe auch mit Blick auf das Rechtsgleichheitsgebot die Praxisänderung von BGE 145 V 215 zu Recht nicht als Neuanmeldungsgrund anerkannt.</w:t>
      </w:r>
    </w:p>
    <w:p>
      <w:r>
        <w:rPr>
          <w:b/>
        </w:rPr>
        <w:t>E. 5.3.1</w:t>
      </w:r>
    </w:p>
    <w:p>
      <w:r>
        <w:t>Das Bundesgericht hat jüngst mit dem zur Publikation vorgesehenen Urteil 9C_132/2020 vom 7. Juni 2021 E. 6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w:t>
      </w:r>
    </w:p>
    <w:p>
      <w:r>
        <w:rPr>
          <w:b/>
        </w:rPr>
        <w:t>E. 5.3.2</w:t>
      </w:r>
    </w:p>
    <w:p>
      <w:r>
        <w:t>Weder dem angefochtenen Urteil noch der Beschwerdeantwort des Beschwerdegegners sind Gründe zu entnehmen, welche an der Anwendbarkeit der Rechtsprechung gemäss dem zur Publikation vorgesehenen Urteil 9C_132/2020 vom 7. Juni 2021 auf den hier zu beurteilenden Fall etwas zu ändern vermöchten. Insoweit ist die Verwaltungsanweisung gemäss IV-Rundschreiben Nr. 395 vom 28. November 2019 nicht zu beanstanden. Auch hier braucht nicht geklärt zu werden, ob und inwiefern sich die Praxisänderung letztlich zu Gunsten der versicherten Person auswirkt. Denn aus dem blossen Verweis auf eine allfällige Besserstellung durch die neue Praxis gemäss BGE 145 V 215 vermag der Beschwerdegegner nichts zu seinen Gunsten abzuleiten (vgl. Urteil 9C_132/2020 vom 7. Juni 2021 E. 5.3 mit Hinweis auf SVR 2020 IV Nr. 33 S. 115, 8C_541/2019 E. 5.1).</w:t>
      </w:r>
    </w:p>
    <w:p>
      <w:r>
        <w:rPr>
          <w:b/>
        </w:rPr>
        <w:t>E. 5.4</w:t>
      </w:r>
    </w:p>
    <w:p>
      <w:r>
        <w:t>Demnach ist die Beschwerde begründet und folglich gutzuheissen. Das vorinstanzliche Urteil ist aufzuheben, so dass es bei der Nichteintretensverfügung der IV-Stelle vom 10. Juni 2020 sein Bewenden hat. Die Sache wird zudem zur Neuverlegung der Kosten des vorangegangenen Verfahrens an die Vorinstanz zurückgewiesen ( Art. 67 BGG ).</w:t>
      </w:r>
    </w:p>
    <w:p>
      <w:r>
        <w:rPr>
          <w:b/>
        </w:rPr>
        <w:t>E. 6</w:t>
      </w:r>
    </w:p>
    <w:p>
      <w:r>
        <w:t>Ausgangsgemäss wird der unterliegende Beschwerdegegner grundsätzlich kostenpflichtig ( Art. 66 Abs. 1 BGG ). Seinem Gesuch um unentgeltliche Rechtspflege (im Sinne der vorläufigen Befreiung von den Gerichtskosten und der unentgeltlichen Verbeiständung) kann entsprochen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