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8C_41/2018 vom 27. März 2018</w:t>
      </w:r>
    </w:p>
    <w:p>
      <w:r>
        <w:t>Bundesgericht, 2018-03-27, DE</w:t>
      </w:r>
    </w:p>
    <w:p>
      <w:r>
        <w:rPr>
          <w:b/>
        </w:rPr>
        <w:t xml:space="preserve">Quelle: </w:t>
      </w:r>
      <w:r>
        <w:t>https://mcp.opencaselaw.ch/entscheid/bger_8C_41_2018</w:t>
      </w:r>
    </w:p>
    <w:p>
      <w:r>
        <w:t>FR: TF 8C_41/2018 du 27 mars 2018</w:t>
      </w:r>
    </w:p>
    <w:p>
      <w:r>
        <w:t>IT: TF 8C_41/2018 del 27 marzo 2018</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w:t>
      </w:r>
    </w:p>
    <w:p>
      <w:r>
        <w:t>Bezüglich der für die Beurteilung der zur Diskussion stehenden Leistungsansprüche massgebenden gesetzlichen Bestimmungen und der von der Rechtsprechung weiter konkretisierten Grundsätze dazu kann auf den angefochtenen Entscheid verwiesen werden. Richtig sind auch die Ausführungen zur Rechtsprechung betreffend den Beweiswert von Arztberichten.</w:t>
      </w:r>
    </w:p>
    <w:p>
      <w:r>
        <w:rPr>
          <w:b/>
        </w:rPr>
        <w:t>E. 3.1</w:t>
      </w:r>
    </w:p>
    <w:p>
      <w:r>
        <w:t>Nach eingehender Auseinandersetzung mit der medizinischen Aktenlage ist das kantonale Gericht mit in allen Teilen einleuchtender Begründung zur Erkenntnis gelangt, der Unfall vom 3. Oktober 2012 stelle zwar möglicherweise eine Ursache für die im Oktober 2015 gemeldeten Schulterbeschwerden dar, der natürliche Kausalzusammenhang sei indessen nicht mit überwiegender Wahrscheinlichkeit nachgewiesen. Die von Dr. med. B.________ in seiner Stellungnahme vom 29. Februar 2016 zum Ausdruck gebrachte gegenteilige Auffassung, wonach nur eine Volumenminderung des Musculus supraspinatus, aber keine fettige Degeneration desselben nachgewiesen werden konnte, was gegen einen degenerativen Vorzustand und für die Unfallkausalität spreche, erachtete es demgegenüber als nicht geeignet, den Beweiswert des Berichts des Kreisarztes Dr. med. D.________ zu schmälern. Überzeugend sei vielmehr dessen Darstellung, dass nach so vielen Jahren nicht mehr festgestellt werden könne, ob die Befunde von 2015 auf den Unfall zurückzuführen seien. Diesem Ergebnis der überzeugenden vorinstanzlichen Beweiswürdigung pflichtet das Bundesgericht vollumfänglich bei.</w:t>
      </w:r>
    </w:p>
    <w:p>
      <w:r>
        <w:rPr>
          <w:b/>
        </w:rPr>
        <w:t>E. 3.2</w:t>
      </w:r>
    </w:p>
    <w:p>
      <w:r>
        <w:t>Die dagegen gerichteten Einwände in der Beschwerdeschrift vermögen daran nichts zu ändern. Dass degenerative Veränderungen der Supraspinatusmuskulatur selbst nicht ausgewiesen sein sollen, spricht für sich allein noch nicht zwingend dafür, dass das bestehende Leidensbild auf eine unfallmässige Verursachung zurückzuführen wäre. Bezüglich der Befunde und der sich daraus ergebenden Diagnose sind sich Dr. med. D.________ und Dr. med. B.________ einig. Sie stimmen einzig bezüglich der Kausaliätsbeurteilung nicht überein. Die Tatsache, dass der Kreisarzt der Suva es für möglich hält, dass ein ursächlicher Zusammenhang besteht, ändert nichts daran, dass dieser nicht mit dem Beweisgrad der überwiegenden Wahrscheinlichkeit nachgewiesen ist. Selbst Dr. med. B.________ argumentiert einzig mit einem Befund, der gegen einen degenerativen Vorzustand spricht. Dies kann indessen einen - positiven - Nachweis eines Kausalzusammenhanges im geforderten Beweisgrad nicht ersetzen. Dass das kantonale Gericht der Auffassung des Dr. med. D.________ eher zu folgen bereit war und sich von der abweichenden Betrachtungsweise des Dr. med. B.________ nicht überzeugen liess, ist unter diesen Umständen nicht zu beanstanden.</w:t>
      </w:r>
    </w:p>
    <w:p>
      <w:r>
        <w:t>Soweit rechtserheblich, ist die Vorinstanz auch ihrer Verpflichtung zu umfassender Sachverhaltsermittlung in jeder Hinsicht nachgekommen. Namentlich gilt dies bezüglich der medizinischen Sachlage, welche ausreichend dokumentiert worden ist. Weil davon keine neuen Erkenntnisse zu erwarten sind, kann - in antizipierter Beweiswürdigung ( BGE 136 I 229 E. 5.3 S. 236 f. mit Hinweisen) - von der eventualiter beantragten Rückweisung zur Einholung eines Gutachtens abgesehen werden. Entgegen der Auffassung des Beschwerdeführers besteht bei dieser Sachlage keine Rechtsgrundlage für eine "neutrale Begutachtung". Im Übrigen wird auf die vorinstanzlichen Ausführungen verwiesen, welchen das Bundesgericht nichts beizufügen hat.</w:t>
      </w:r>
    </w:p>
    <w:p>
      <w:r>
        <w:rPr>
          <w:b/>
        </w:rPr>
        <w:t>E. 4</w:t>
      </w:r>
    </w:p>
    <w:p>
      <w:r>
        <w:t>Die Beschwerde ist als offensichtlich unbegründet im vereinfachten Verfahren nach Art. 109 BGG mit summarischer Begründung und unter Verweis auf den vorinstanzlichen Entscheid ( Art. 109 Abs. 3 BGG ) - ohne Durchführung eines Schriftenwechsels ( Art. 102 Abs. 1 BGG ) - abzuweisen (Art. 109 Abs. 2 lit. a). 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