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8C_419/2015 vom 1. Juli 2015</w:t>
      </w:r>
    </w:p>
    <w:p>
      <w:r>
        <w:t>Bundesgericht, 2015-07-01, FR</w:t>
      </w:r>
    </w:p>
    <w:p>
      <w:r>
        <w:rPr>
          <w:b/>
        </w:rPr>
        <w:t xml:space="preserve">Quelle: </w:t>
      </w:r>
      <w:r>
        <w:t>https://mcp.opencaselaw.ch/entscheid/bger_8C_419_2015</w:t>
      </w:r>
    </w:p>
    <w:p>
      <w:r>
        <w:t>FR: TF 8C_419/2015 du 1 juillet 2015</w:t>
      </w:r>
    </w:p>
    <w:p>
      <w:r>
        <w:t>IT: TF 8C_419/2015 del 1 luglio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8C_419/2015</w:t>
      </w:r>
    </w:p>
    <w:p>
      <w:r>
        <w:t>Arrêt du 1er juillet 2015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Greffier : M. Beauverd.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Secrétariat d'Etat aux migrations SEM, Quellenweg 6, 3003 Berne,</w:t>
      </w:r>
    </w:p>
    <w:p>
      <w:r>
        <w:t>intimé.</w:t>
      </w:r>
    </w:p>
    <w:p>
      <w:r>
        <w:t>Objet</w:t>
      </w:r>
    </w:p>
    <w:p>
      <w:r>
        <w:t>Droit de la fonction publique (condition procédurale),</w:t>
      </w:r>
    </w:p>
    <w:p>
      <w:r>
        <w:t>recours contre la décision incidente du Tribunal administratif fédéral, Cour I, du 12 mai 2015.</w:t>
      </w:r>
    </w:p>
    <w:p>
      <w:r>
        <w:t>Vu :</w:t>
      </w:r>
    </w:p>
    <w:p>
      <w:r>
        <w:t>la décision du 10 mars 2014 par laquelle le Secrétariat d'Etat aux migrations (SEM) a constaté la validité de la convention du 20 mars 2013 qui a mis un terme aux rapports de travail le liant à A.________,</w:t>
      </w:r>
    </w:p>
    <w:p>
      <w:r>
        <w:t>le recours formé par l'intéressée devant le Tribunal administratif fédéral,</w:t>
      </w:r>
    </w:p>
    <w:p>
      <w:r>
        <w:t>la décision incidente du 12 mai 2015 par laquelle ledit tribunal a rejeté la réquisition d'audition de témoins présentée par A.________,</w:t>
      </w:r>
    </w:p>
    <w:p>
      <w:r>
        <w:t>le recours formé contre cette décision par la prénommée,</w:t>
      </w:r>
    </w:p>
    <w:p>
      <w:r>
        <w:t>considérant :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que le recours en matière de droit public ( art. 82 ss LTF ) est recevable contre les décisions qui mettent fin à la procédure ( art. 90 LTF ), ainsi que contre les décisions préjudicielles et incidentes qui sont notifiées séparément et qui portent sur la compétence ou sur une demande de récusation ( art. 92 al. 1 LTF ),</w:t>
      </w:r>
    </w:p>
    <w:p>
      <w:r>
        <w:t>que selon l' art. 93 al. 1 LTF , les autres décisions préjudicielles et incidentes notifiées séparément peuvent faire l'objet d'un recours si elles peuvent causer un préjudice irréparable (let. a) ou si l'admission du recours peut conduire immédiatement à une décision finale qui permet d'éviter une procédure probatoire longue et coûteuse (let. b),</w:t>
      </w:r>
    </w:p>
    <w:p>
      <w:r>
        <w:t>qu'il appartient notamment à la partie recourante d'alléguer et d'établir la possibilité qu'une décision incidente lui cause un dommage irréparable ( ATF 134 III 426 consid. 1.2 p. 428 s. et les références citées), à moins que celui-ci ne fasse d'emblée aucun doute (arrêts 8C_903/2013 du 24 janvier 2014; 8C_871/2013 du 20 décembre 2013 consid. 1.2; 8C_780/2011 du 4 décembre 2012 consid. 1.2.1),</w:t>
      </w:r>
    </w:p>
    <w:p>
      <w:r>
        <w:t>que le jugement attaqué est une décision incidente au sens de l' art. 93 LTF ,</w:t>
      </w:r>
    </w:p>
    <w:p>
      <w:r>
        <w:t>que la recourante n'expose pas en quoi ce jugement lui cause un préjudice irréparable,</w:t>
      </w:r>
    </w:p>
    <w:p>
      <w:r>
        <w:t>que cette possibilité n'apparaît pas d'emblée réalisée,</w:t>
      </w:r>
    </w:p>
    <w:p>
      <w:r>
        <w:t>qu'il n'y a dès lors pas lieu d'entrer en matière sur le recours,</w:t>
      </w:r>
    </w:p>
    <w:p>
      <w:r>
        <w:t>que l'on peut renoncer à la perception d'un émolument judiciaire (art. 66 al. 1, deuxième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de justice.</w:t>
      </w:r>
    </w:p>
    <w:p>
      <w:r>
        <w:t>3.</w:t>
      </w:r>
    </w:p>
    <w:p>
      <w:r>
        <w:t>Le présent arrêt est communiqué aux parties et au Tribunal administratif fédéral, Cour I.</w:t>
      </w:r>
    </w:p>
    <w:p>
      <w:r>
        <w:t>Lucerne, le 1</w:t>
      </w:r>
    </w:p>
    <w:p>
      <w:r>
        <w:t>er juillet 2015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Le Greffier 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