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8C_419/2012 vom 21. September 2012</w:t>
      </w:r>
    </w:p>
    <w:p>
      <w:r>
        <w:t>Bundesgericht, 2012-09-21, DE</w:t>
      </w:r>
    </w:p>
    <w:p>
      <w:r>
        <w:rPr>
          <w:b/>
        </w:rPr>
        <w:t xml:space="preserve">Quelle: </w:t>
      </w:r>
      <w:r>
        <w:t>https://mcp.opencaselaw.ch/entscheid/bger_8C_419_2012</w:t>
      </w:r>
    </w:p>
    <w:p>
      <w:r>
        <w:t>FR: TF 8C_419/2012 du 21 septembre 2012</w:t>
      </w:r>
    </w:p>
    <w:p>
      <w:r>
        <w:t>IT: TF 8C_419/2012 del 21 settembre 2012</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w:t>
      </w:r>
    </w:p>
    <w:p>
      <w:r>
        <w:t>Es ist unbestritten, dass dem Versicherten eine ganztägige Arbeitstätigkeit bei einer Leistungsfähigkeit von 65 % zumutbar ist. Streitig ist hingegen der von der Vorinstanz gewährte höhere leidensbedingte Abzug bei der Ermittlung des Invalideneinkommens.</w:t>
      </w:r>
    </w:p>
    <w:p>
      <w:r>
        <w:rPr>
          <w:b/>
        </w:rPr>
        <w:t>E. 3.1</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w:t>
      </w:r>
    </w:p>
    <w:p>
      <w:r>
        <w:t>Die Rechtsprechung anerkennt unter dem Titel Beschäftigungsgrad bei Männern, welche aus gesundheitlichen Gründen nur noch teilzeitlich erwerbstätig sein können, einen Abzug vom Tabellenlohn nach BGE 126 V 75 . Dagegen rechtfertigt der Umstand, dass eine grundsätzlich vollzeitlich arbeitsfähige versicherte Person krankheitsbedingt lediglich reduziert leistungsfähig ist, keinen über die Berücksichtigung der eingeschränkten Leistungsfähigkeit und damit des Rendements hinaus gehenden Abzug (Urteile 8C_20/2012 vom 4. April 2012 E. 3.2, 8C_939/2011 vom 13. Februar 2012 E. 5.2.3 und 9C_582/2011 vom 3. November 2011 E. 3.1 mit Hinweisen).</w:t>
      </w:r>
    </w:p>
    <w:p>
      <w:r>
        <w:rPr>
          <w:b/>
        </w:rPr>
        <w:t>E. 3.2</w:t>
      </w:r>
    </w:p>
    <w:p>
      <w:r>
        <w:t>Wie die IV-Stelle zu Recht geltend macht, ist die Vorinstanz von dieser Rechtsprechung abgewichen. Weshalb aus betriebswirtschaftlicher Sicht jene Faktoren, die bei Teilzeitarbeitenden zu einer unterdurchschnittlichen Entlöhnung führen, auch bei jenen Personen, die vollzeitlich mit eingeschränktem Rendement erwerbstätig sind, zu einem geringeren Einkommen führen sollen, wird im vorinstanzlichen Entscheid nicht überzeugend begründet. Zwar mag es zutreffen, dass, wie von der Lehre (PHILIPP GEERTSEN, Der Tabellenlohnabzug, in: Kieser/Lendfers [Hrsg.]: Jahrbuch zum Sozialversicherungsrecht 2012, S. 139 ff., S. 149) vermutet und der Vorinstanz angenommen, Arbeitskräfte mit reduzierter Leistungsfähigkeit die Infrastruktur des Arbeitgebers ineffizienter und damit kostenintensiver beanspruchen, als Arbeitskräfte mit uneingeschränkter Leistungsfähigkeit. Es bestehen indessen nicht ausreichend Anhaltspunkte dafür, dass dieser Effekt nicht durch die Vorteile der ganztägigen Präsenz des Arbeitnehmers aufgewogen wird (vgl. SVR 2012 Nr. 17 S. 78 E. 4.2.3, 8C_379/2011). Insgesamt sind somit nicht genügende Gründe für eine Praxisänderung ( BGE 135 I 79 E. 3 S. 82; 134 V 72 E. 3.3 S. 76) dargetan.</w:t>
      </w:r>
    </w:p>
    <w:p>
      <w:r>
        <w:rPr>
          <w:b/>
        </w:rPr>
        <w:t>E. 3.3</w:t>
      </w:r>
    </w:p>
    <w:p>
      <w:r>
        <w:t>Weitere Umstände, die einen über die gewährten 10 % hinausgehenden Abzug rechtfertigen würden, sind weder ersichtlich noch geltend gemacht. Die vorinstanzlich gewährte Erhöhung des Abzugs auf 15 % ist damit bundesrechtswidrig. Da ohne diese Erhöhung des Abzugs kein Anspruch auf eine Invalidenrente besteht, ist der vorinstanzliche Entscheid aufzuheben.</w:t>
      </w:r>
    </w:p>
    <w:p>
      <w:r>
        <w:rPr>
          <w:b/>
        </w:rPr>
        <w:t>E. 4</w:t>
      </w:r>
    </w:p>
    <w:p>
      <w:r>
        <w:t>Das Verfahren ist kostenpflichtig. Der unterliegende Beschwerdegegner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