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8C_416/2012 vom 20. September 2012</w:t>
      </w:r>
    </w:p>
    <w:p>
      <w:r>
        <w:t>Bundesgericht, 2012-09-20, FR</w:t>
      </w:r>
    </w:p>
    <w:p>
      <w:r>
        <w:rPr>
          <w:b/>
        </w:rPr>
        <w:t xml:space="preserve">Quelle: </w:t>
      </w:r>
      <w:r>
        <w:t>https://mcp.opencaselaw.ch/entscheid/bger_8C_416_2012</w:t>
      </w:r>
    </w:p>
    <w:p>
      <w:r>
        <w:t>FR: TF 8C_416/2012 du 20 septembre 2012</w:t>
      </w:r>
    </w:p>
    <w:p>
      <w:r>
        <w:t>IT: TF 8C_416/2012 del 20 settembre 2012</w:t>
      </w:r>
    </w:p>
    <w:p>
      <w:pPr>
        <w:pStyle w:val="Heading2"/>
      </w:pPr>
      <w:r>
        <w:t>Erwägungen</w:t>
      </w:r>
    </w:p>
    <w:p>
      <w:r>
        <w:rPr>
          <w:b/>
        </w:rPr>
        <w:t>E. 1</w:t>
      </w:r>
    </w:p>
    <w:p>
      <w:r>
        <w:t>Les recourants font valoir que le jugement attaqué viole l' art. 2 CC qui consacre le principe de la bonne foi.</w:t>
      </w:r>
    </w:p>
    <w:p>
      <w:r>
        <w:t>Le jugement attaqué est fondé sur le droit cantonal concernant le remboursement de prestations financières de l'aide sociale indûment perçues et la remise de l'obligation de restituer (art. 36 al. 1 à 3 et art. 42 al. 1 de la loi sur l'insertion et l'aide sociale individuelle du 22 mars 2007 [LIASI; RS/GE J 4 04]). Même si ces dispositions cantonales utilisent une notion du droit fédéral - en l'occurrence la bonne foi -, l'interprétation de cette notion relève du droit cantonal ( ATF 128 III 76 consid. 1a p. 80 et les références; arrêt 4A_278/2011 du 25 août 2011 consid. 2.1). Partant, et sous réserve des cas visés à l' art. 95 let . c à e LTF, la solution retenue par l'autorité précédente ne peut être revue par le Tribunal fédéral que sous l'angle de sa conformité au droit constitutionnel, notamment à l' art. 9 Cst. , qui consacre l'interdiction de l'arbitraire. En outre, conformément aux exigences de motivation déduites de l' art. 106 al. 2 LTF , le Tribunal fédéral n'examine le moyen tiré de la violation d'une norme de rang constitutionnel que si le grief a été invoqué et motivé de manière précise, de sorte que seuls sont admissibles les moyens fondés sur les droits constitutionnels, dûment invoqués et motivés. En l'espèce, toutefois, les recourants ne font pas valoir que l'application du droit cantonal est arbitraire.</w:t>
      </w:r>
    </w:p>
    <w:p>
      <w:r>
        <w:rPr>
          <w:b/>
        </w:rPr>
        <w:t>E. 2</w:t>
      </w:r>
    </w:p>
    <w:p>
      <w:r>
        <w:t>Par ailleurs, les recourants remettent en cause certaines constatations de fait du jugement attaqué.</w:t>
      </w:r>
    </w:p>
    <w:p>
      <w:r>
        <w:t>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et si la correction du vice est susceptible d'influer sur le sort de la cause ( ATF 134 V 53 consid. 4.3 p. 62 et les références). Il appartient au recourant de démontrer le caractère arbitraire par une argumentation répondant aux exigences de l' art. 42 al. 2 LTF , respectivement de l' art. 106 al. 2 LTF ( ATF 133 II 249 consid. 1.4.3 p. 254 s.).</w:t>
      </w:r>
    </w:p>
    <w:p>
      <w:r>
        <w:t>En l'occurrence, le recours ne contient toutefois aucune démonstration du caractère arbitraire de l'état de fait du jugement attaqué. En effet, les recourants n'exposent pas en quoi l'appréciation des preuves par les premiers juges est manifestement insoutenable. Leur argumentation tend plutôt à substituer leur propre appréciation à celle de l'autorité précédente. Il n'y a dès lors pas lieu de s'écarter des faits établis par l'autorité précédente.</w:t>
      </w:r>
    </w:p>
    <w:p>
      <w:r>
        <w:rPr>
          <w:b/>
        </w:rPr>
        <w:t>E. 3</w:t>
      </w:r>
    </w:p>
    <w:p>
      <w:r>
        <w:t>Vu ce qui précède, le recours se révèle mal fondé dans la mesure où il est recevable.</w:t>
      </w:r>
    </w:p>
    <w:p>
      <w:r>
        <w:t>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