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415/2016 vom 30. August 2016</w:t>
      </w:r>
    </w:p>
    <w:p>
      <w:r>
        <w:t>Bundesgericht, 2016-08-30, DE</w:t>
      </w:r>
    </w:p>
    <w:p>
      <w:r>
        <w:rPr>
          <w:b/>
        </w:rPr>
        <w:t xml:space="preserve">Quelle: </w:t>
      </w:r>
      <w:r>
        <w:t>https://mcp.opencaselaw.ch/entscheid/bger_8C_415_2016</w:t>
      </w:r>
    </w:p>
    <w:p>
      <w:r>
        <w:t>FR: TF 8C 415/2016 du 30 août 2016</w:t>
      </w:r>
    </w:p>
    <w:p>
      <w:r>
        <w:t>IT: TF 8C 415/2016 del 30 agosto 2016</w:t>
      </w:r>
    </w:p>
    <w:p>
      <w:pPr>
        <w:pStyle w:val="Heading2"/>
      </w:pPr>
      <w:r>
        <w:t>Regeste</w:t>
      </w:r>
    </w:p>
    <w:p>
      <w:r>
        <w:t>Invalidenversicherung (Neuanmeldung;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S. 200). Mit dem Beweismass des Glaubhaftmachens sind herabgesetzte Anforderungen an den Beweis verbunden; die Tatsachenänderung muss also nicht nach dem im Sozialversicherungsrecht sonst üblichen 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2003 IV Nr. 25 S. 76, I 238/02 E. 2.2 und 2.3, 2002 IV Nr. 10 S. 25, I 724/99 E. 1c/aa).</w:t>
      </w:r>
    </w:p>
    <w:p>
      <w:r>
        <w:rPr>
          <w:b/>
        </w:rPr>
        <w:t>E. 3.1</w:t>
      </w:r>
    </w:p>
    <w:p>
      <w:r>
        <w:t>Das kantonale Gericht hat zunächst festgestellt, von lumbalen Beschwerden mit Ausstrahlung in das linke Bein sei bereits im April 2009 die Rede gewesen. Aus dem Auszug der Krankengeschichte des Dr. med. B.________ ergebe sich eine Verschlimmerung der Rückenproblematik; neu sei die Symptomatik im rechten Bein. Zudem diagnostiziere Dr. med. B.________ neu ein schweres obstruktives Schlafapnoesyndrom. Laut Auskünften des RAD-Arztes könne aufgrund klinischer Erfahrung keine Arbeitsunfähigkeit in einer optimal angepassten Erwerbstätigkeit ausgewiesen werden; zu beachten sei das Belastungsprofil: körperlich sehr leichte und in Wechselbelastung ausübbare Tätigkeiten, ohne Heben von Lasten, einfach, ruhig und geordnet, ohne vorwiegenden Kundenkontakt.</w:t>
      </w:r>
    </w:p>
    <w:p>
      <w:r>
        <w:rPr>
          <w:b/>
        </w:rPr>
        <w:t>E. 3.2</w:t>
      </w:r>
    </w:p>
    <w:p>
      <w:r>
        <w:t>Weiter hat die Vorinstanz erwogen, auffallend sei die Summe verschiedenartiger gesundheitlicher Beeinträchtigungen (seit Jahren bestehende Rückenbeschwerden; eingeschränkte Sehfähigkeit; depressive Episoden; Vorhofflimmern des Herzens; schweres obstruktives Schlafapnoesyndrom). Anlässlich der ersten Anmeldung zum Leistungsbezug seien die psychischen Beschwerden im Vordergrund gestanden, die aktuell nicht mehr vorlägen. Indessen bestünden Hinweise, dass sich die Rückenprobleme verschlimmert hätten. Das Schlafapnoesyndrom sei zudem bei der ersten Prüfung des Rentenanspruchs nicht bekannt gewesen. Insofern hätten sich die tatsächlichen Verhältnisse seit dem 29. November 2012 (letzte Verfügung, die auf einer materiellen Prüfung des Rentenanspruchs beruhte) verändert.</w:t>
      </w:r>
    </w:p>
    <w:p>
      <w:r>
        <w:rPr>
          <w:b/>
        </w:rPr>
        <w:t>E. 3.3</w:t>
      </w:r>
    </w:p>
    <w:p>
      <w:r>
        <w:t>Abschliessend hat das kantonale Gericht erkannt, eine anspruchserhebliche Verschlechterung des Gesundheitzustands sei nicht glaubhaft gemacht worden. Aus somatischer Sicht ergäben sich wohl zusätzliche Anforderungen an eine angepasste Erwerbstätigkeit. Von einer wesentlichen Einschränkung der Arbeitsfähigkeit könne indessen auch mit Blick auf die neuen gesundheitlichen Beeinträchtigungen nicht ausgegangen werden. Hinsichtlich des Schlafapnoesyndroms sei im Übrigen die Atemunterstützung laut Angaben des Dr. med. B.________ noch nicht optimal eingestellt gewesen, weshalb diesbezüglich nicht von einem stabilen Gesundheitszustand gesprochen werden könne.</w:t>
      </w:r>
    </w:p>
    <w:p>
      <w:r>
        <w:rPr>
          <w:b/>
        </w:rPr>
        <w:t>E. 4.1</w:t>
      </w:r>
    </w:p>
    <w:p>
      <w:r>
        <w:t>Der Beschwerdeführer bringt zu Recht vor, dass die vorinstanzlichen Erwägungen in sich widersprüchlich sind und im Ergebnis einer vorweggenommenen materiellen Prüfung des rechtserheblichen Sachverhalts gleichkommen (vgl. BGE 109 V 114 E. 2b S. 115). Gemäss Abschlussbericht des Gutachten-Zentrums D.________ vom 1. April 2009 lag unter anderem ein lumbospondylogenes Schmerzsyndrom - entgegen den Erwägungen der Vorinstanz - ohne radikuläre Symptomatik vor; der Versicherte war aus somatischer Sicht für körperlich leichte Arbeiten in wechselnden Positionen ohne schweres Heben von Lasten und ohne repetitives Beugen oder Rotieren des Rückens zu 50 % arbeitsfähig. Laut Stellungnahme des RAD-Arztes vom 12. März 2015 zum Bericht des Dr. med. B.________ vom 18. Februar 2015 war neu ein lumboradikuläres Schmerzsyndrom (beidseits) festzustellen; eine vollständige Arbeitsfähigkeit konnte nur unter strikter Beachtung des Belastungsprofils (körperlich sehr leichte wechselbelastende Tätigkeit, ohne Lastenheben, einfach, ruhig und geordnet, ohne vorwiegenden Kundenkontakt) angenommen werden. Der Vergleich dieser ärztlichen Angaben, welche konkreten Arbeiten dem Versicherten noch zumutbar waren, zeigt, dass er glaubhaft machte, selbst bei gleich gebliebenem Gesundheitszustand hätten sich die erwerblichen Auswirkungen des Gesundheitszustands revisionsrechtlich erheblich verändert (vgl. dazu BGE 134 V 131 E. 3 S. 132; 133 V 545 E. 6.1 S. 546; 130 V 343 E. 3.5 S. 349 f. mit Hinweisen). So vermochte er nur noch sehr leichte Tätigkeiten auszuüben und das Heben und Tragen selbst leichter Lasten war ihm nicht mehr zumutbar. Im Übrigen weist der Beschwerdeführer zu Recht darauf hin, dass der RAD-Arzt bei der Einschätzung des zeitlichen Umfangs einer möglichen Arbeitsgelegenheit auf klinische Erfahrung abstellte, ohne medizinische Literatur zu vergleichbaren Fällen zu zitieren; seine Annahme einer vollständigen Arbeitsfähigkeit ist daher nicht ohne Weiteres nachvollziehbar.</w:t>
      </w:r>
    </w:p>
    <w:p>
      <w:r>
        <w:rPr>
          <w:b/>
        </w:rPr>
        <w:t>E. 4.2</w:t>
      </w:r>
    </w:p>
    <w:p>
      <w:r>
        <w:t>Nach dem Gesagten hat die IV-Stelle entgegen der Auffassung des kantonalen Gerichts auf das neue Leistungsgesuch des Versicherten vom 22. August 2014 einzutreten, und sie hat die geltend gemachten Ansprüche in tatsächlicher und rechtlicher Hinsicht umfassend zu prüfen.</w:t>
      </w:r>
    </w:p>
    <w:p>
      <w:r>
        <w:rPr>
          <w:b/>
        </w:rPr>
        <w:t>E. 5</w:t>
      </w:r>
    </w:p>
    <w:p>
      <w:r>
        <w:t>Die IV-Stelle hat als unterliegende Partei die Gerichtskosten zu tragen ( Art. 66 Abs. 1 BGG ) und dem Beschwerdeführer eine Parteientschädigung zu bezahlen ( Art. 68 Abs. 1 und 2 BGG ). Das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