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8C_415/2014 vom 29. August 2014</w:t>
      </w:r>
    </w:p>
    <w:p>
      <w:r>
        <w:t>Bundesgericht, 2014-08-29, DE</w:t>
      </w:r>
    </w:p>
    <w:p>
      <w:r>
        <w:rPr>
          <w:b/>
        </w:rPr>
        <w:t xml:space="preserve">Quelle: </w:t>
      </w:r>
      <w:r>
        <w:t>https://mcp.opencaselaw.ch/entscheid/bger_8C_415_2014</w:t>
      </w:r>
    </w:p>
    <w:p>
      <w:r>
        <w:t>FR: TF 8C_415/2014 du 29 août 2014</w:t>
      </w:r>
    </w:p>
    <w:p>
      <w:r>
        <w:t>IT: TF 8C_415/2014 del 29 agosto 2014</w:t>
      </w:r>
    </w:p>
    <w:p>
      <w:pPr>
        <w:pStyle w:val="Heading2"/>
      </w:pPr>
      <w:r>
        <w:t>Erwägungen</w:t>
      </w:r>
    </w:p>
    <w:p>
      <w:r>
        <w:rPr>
          <w:b/>
        </w:rPr>
        <w:t>E. 1</w:t>
      </w:r>
    </w:p>
    <w:p>
      <w:r>
        <w:t>Mit der Beschwerde in öffentlich-rechtlichen Angelegenheiten kann unter anderem die Verletzung von Bundesrecht gerügt werden ( Art. 95 lit. a BGG ). Eine Beanstandung des Sachverhalts ist nur möglich, wenn die Feststellung offensichtlich unrichtig erfolgte oder auf einer Rechtsverletzung im Sinne von Art. 95 BGG beruht sowie die Behebung des Mangels für den Ausgang des Verfahrens entscheidend sein kann ( Art. 97 Abs. 1 BGG ). Die vorinstanzlichen, auf medizinischen Untersuchungen beruhenden Feststellungen zum Gesundheitszustand und zur Arbeitsfähigkeit der versicherten Person sind grundsätzlich Entscheidungen über eine Tatfrage ( BGE 132 V 393 E. 3.2 S. 397 ff.), die das Bundesgericht seiner Urteilsfindung zugrunde zu legen hat ( Art. 105 Abs. 1 BGG ). Ebenfalls Tatfrage ist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wendet doch das Bundesgericht das Recht von Amtes wegen an ( Art. 106 Abs. 1 BGG ). Soweit die Beurteilung der Zumutbarkeit von Arbeitsleistungen auf die allgemeine Lebenserfahrung gestützt wird, geht es ebenfalls um eine Rechtsfrage ( BGE 132 V 393 E. 3.2 S. 397 ff.). Rechtsfrage ist ferner, nach welchen Gesichtspunkten die Entscheidung über die Verwertbarkeit der Restarbeitsfähigkeit erfolgt (Urteil 9C_190/2009 vom 11. Mai 2009 E. 3.3).</w:t>
      </w:r>
    </w:p>
    <w:p>
      <w:r>
        <w:rPr>
          <w:b/>
        </w:rPr>
        <w:t>E. 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Urteile I 401/01 vom 4. April 2002 E. 4b;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Urteile 9C_124/2010 vom 21. September 2010 E. 5.1; 9C_427/2010 vom 14. Juli 2010 E. 2.4.1; I 617/02 vom 10. März 2003 E. 3.2.3).</w:t>
      </w:r>
    </w:p>
    <w:p>
      <w:r>
        <w:rPr>
          <w:b/>
        </w:rPr>
        <w:t>E. 3</w:t>
      </w:r>
    </w:p>
    <w:p>
      <w:r>
        <w:t>Zu prüfen ist die Rechtsfrage (E. 1 hievor; Urteil 8C_776/2008 vom 18. Juni 2009 E. 5.2), ob der Beschwerdeführer angesichts seines fortgeschrittenen Alters nach allgemeiner Lebenserfahrung in einem als ausgeglichen unterstellten Arbeitsmarkt (vgl. Art. 7 Abs. 1 und Art. 16 ATSG ) noch als vermittelbar gelten und die ihm verbliebene Leistungsfähigkeit erwerblich verwerten kann. Zur Beurteilung dieser Frage ist auf den Zeitpunkt abzustellen, in dem aus medizinischer Sicht die sich auf die Arbeitsfähigkeit auswirkenden gesundheitlichen Beeinträchtigungen feststehen ( BGE 138 V 457 ).</w:t>
      </w:r>
    </w:p>
    <w:p>
      <w:r>
        <w:rPr>
          <w:b/>
        </w:rPr>
        <w:t>E. 4.1.1</w:t>
      </w:r>
    </w:p>
    <w:p>
      <w:r>
        <w:t>Es ist unbestritten, dass zur Beurteilung des Gesundheitszustands und der Arbeitsfähigkeit auf das in allen Teilen beweiskräftige Gutachten der Medizinischen Abklärungsstelle C.________ vom 3. August 2012 abzustellen ist. Danach waren die Beeinträchtigungen an der rechten Schulter und dem rechten Arm als Zustand nach Implantation einer Gelenksprothese mit anschliessender Entwicklung einer Frozen Shoulder zu verstehen. Mit dem rechten Arm waren das Heben vom Boden bis Taillenhöhe noch für Lasten bis 7 kg, das Tragen einhändig sowie Stossen und Ziehen von Lasten noch bis 10 kg möglich. Wegen der fehlenden Beweglichkeit in der Schulter vermochte der Versicherte keine Lasten mehr über Taillenhöhe zu heben. Er war für Verrichtungen mit der rechten Hand, bei welchen nur Ellenbogen, Handgelenk und Finger, nicht aber die Schulter eingesetzt werden mussten, einsatzfähig. Das Tragen vorne beidseitig war noch für Lasten bis 15 kg möglich. Auch in der linken Schulter bestand eine entsprechende Bewegungseinschränkung. Wegen dieser Behinderungen war der Versicherte im zuletzt ausgeübten Beruf nicht mehr, in einer Verweisungstätigkeit, bei welchen er nicht Kälte, Nässe oder Zugluft ausgesetzt wäre, hiegegen vollständig arbeitsfähig.</w:t>
      </w:r>
    </w:p>
    <w:p>
      <w:r>
        <w:rPr>
          <w:b/>
        </w:rPr>
        <w:t>E. 4.1.2</w:t>
      </w:r>
    </w:p>
    <w:p>
      <w:r>
        <w:t>Zur Verwertbarkeit der verbliebenen Arbeitsfähigkeit hat die Vorinstanz erwogen, zumindest Kontroll- und Überwachungstätigkeiten seien zumutbar, da dabei die Arme nur selten sowie ohne kraftfordernde oder andere ungünstige Bewegungen eingesetzt werden müssten und im Übrigen die Feinmotorik laut Gutachten der Medizinischen Abklärungsstelle C.________ erhalten sei. Die fehlenden Deutschkenntnisse hinderten die Aufnahme einer leidensadaptierten Hilfstätigkeit nicht, zumal solche dazu nicht notwendig seien. Allerdings erschwere das fortgeschrittene Alter die Verwertbarkeit der verbliebenen Arbeitsfähigkeit auf dem ausgeglichenen Arbeitsmarkt, weil anzunehmen sei, dass ein potentieller Arbeitgeber ältere Hilfsarbeiter ohne gewinnbringende berufliche Erfahrung nur zu einem unterdurchschnittlichen Lohn einsetzen würde. Daher rechtfertige es sich, von dem gestützt auf Tabellenlöhne zu ermittelnden Invalideneinkommen einen Abzug gemäss BGE 126 V 75 von 15 % vorzunehmen.</w:t>
      </w:r>
    </w:p>
    <w:p>
      <w:r>
        <w:rPr>
          <w:b/>
        </w:rPr>
        <w:t>E. 4.2.1</w:t>
      </w:r>
    </w:p>
    <w:p>
      <w:r>
        <w:t>Der Beschwerdeführer macht im Wesentlichen geltend, der vorliegende Sachverhalt sei vergleichbar mit demjenigen, der dem Urteil 9C_954/2012 vom 10. Mai 2013 (publ. in: Plädoyer 2013, Heft 4, S. 57) zugrunde lag. Danach hatte der Versicherte während 25 Jahren als Portier im gleichen Hotel gearbeitet, in welcher körperlich mittel- bis schweren Tätigkeit er sich keine feinmotorischen Fähigkeiten aneignen konnte; ein wesentlicher Teil der ihm zumutbaren, leichten Verweisungstätigkeiten, die teils stehend, teils sitzend verrichtet werden konnten und kein Tragen über 5 kg oder Überkopfarbeiten erforderten, fielen ausser Betracht, weil er schmerzbedingt nur eingeschränkt ziehen oder stossen und Verrichtungen mit den Händen vornehmen konnte; hinzu kamen gehäuft aufgetretene symptomatische Hypoglykämien, die Schichtdienste sowie das Führen von Fahrzeugen und Maschinen verhinderten; in Frage kamen daher am ehesten Kontroll- und Überwachungsarbeiten in der Industrie, für welchen Berufswechsel der 60 Jahre alte Versicherte ein hohes Mass an Anpassungsfähigkeit hätte aufbringen müssen, was angesichts der beruflichen Karriere wenig wahrscheinlich erschien (E. 3.2.1 f.).</w:t>
      </w:r>
    </w:p>
    <w:p>
      <w:r>
        <w:rPr>
          <w:b/>
        </w:rPr>
        <w:t>E. 4.2.2</w:t>
      </w:r>
    </w:p>
    <w:p>
      <w:r>
        <w:t>Der Beschwerdeführer übersieht, dass er allein wegen der Frozen Shoulder rechts sowie der damit vergleichbaren Symptomatik am linken Schultergelenk in der Arbeitsfähigkeit eingeschränkt war. Daneben litt er an keinen weiteren körperlichen oder psychischen Beeinträchtigungen. Ihm war insbesondere möglich, einhändig Lasten bis 10 kg zu stossen und zu ziehen oder vorne beidhändig Lasten bis 15 kg zu tragen; zudem war er für feinmotorisch zu verrichtende Tätigkeiten nicht beeinträchtigt. Unter diesen Umständen ist - anders als im Falle von 9C_954/2012 - anzunehmen, dass er leichte Montage-, industrielle Fertigungs- oder Abpackarbeiten (worauf im Gutachten der Medizinischen Abklärungsstelle C.________ vom 3. August 2012 hingewiesen wurde) sowie Kontroll- oder Überwachungsfunktionen uneingeschränkt arbeitsfähig war. Schliesslich spricht der in der Beschwerde unter Hinweis auf das Gutachten der Medizinischen Abklärungsstelle C.________ dargelegte berufliche Werdegang gegen die Annahme, dass er sich an die neuen Gegebenheiten nicht anzupassen vermochte. So war der Beschwerdeführer als angelernter Mitarbeiter von 1978 bis 1989 bei der Hero, von 1991 bis 2000 als Kontrolleur bei der Firma D.________ mit leichten bis mittelschweren Tätigkeiten (Überprüfen von Serumröhrchen auf die Dichtigkeit hin) und nach einem Aufenthalt im Heimatland, wo er im Betrieb des Vaters in der Landwirtschaft arbeitete (2000 bis 2008), ab Januar 2009 bei der B.________ GmbH beschäftigt, die ihm eine Arbeitsgelegenheit zuwies, bei der er 5 bis 10 kg schwere Eiskartons stapelte. Insgesamt übersieht der Beschwerdeführer, dass nach ständiger Rechtsprechung das fortgeschrittene Alter allein nicht entscheidend ist zur Beurteilung der Frage, inwiefern der versicherten Person die Verwertung der verbliebenen Arbeitsfähigkeit auf dem ausgeglichenen Arbeitsmarkt noch zumutbar ist (vgl. E. 2 hievor).</w:t>
      </w:r>
    </w:p>
    <w:p>
      <w:r>
        <w:rPr>
          <w:b/>
        </w:rPr>
        <w:t>E. 4.3</w:t>
      </w:r>
    </w:p>
    <w:p>
      <w:r>
        <w:t>Der Beschwerdeführer wendet gegen die vorinstanzliche Bestimmung des Invaliditätsgrades gemäss Art. 16 ATSG nichts ein, weshalb mit dem kantonalen Gericht ohne Weiteres davon auszugehen ist, dass er ein den Anspruch auf eine Invalidenrente ausschliessendes Invalideneinkommen zu erzielen vermochte.</w:t>
      </w:r>
    </w:p>
    <w:p>
      <w:r>
        <w:rPr>
          <w:b/>
        </w:rPr>
        <w:t>E. 5</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Dem Beschwerdeführer wird eine angemessene Entschädigung zugesprochen ( Art. 64 Abs. 2 Satz 2 BGG ). 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