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8C_415/2013 vom 23. Januar 2014</w:t>
      </w:r>
    </w:p>
    <w:p>
      <w:r>
        <w:t>Bundesgericht, 2014-01-23, DE</w:t>
      </w:r>
    </w:p>
    <w:p>
      <w:r>
        <w:rPr>
          <w:b/>
        </w:rPr>
        <w:t xml:space="preserve">Quelle: </w:t>
      </w:r>
      <w:r>
        <w:t>https://mcp.opencaselaw.ch/entscheid/bger_8C_415_2013</w:t>
      </w:r>
    </w:p>
    <w:p>
      <w:r>
        <w:t>FR: TF 8C_415/2013 du 23 janvier 2014</w:t>
      </w:r>
    </w:p>
    <w:p>
      <w:r>
        <w:t>IT: TF 8C_415/2013 del 23 gennaio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Mit Verfügung vom 17. August 2011 wurde der Beschwerdeführer aufgefordert, sich bei der "Basisbeschäftigung" anzumelden und am Programm zu mindestens 45 % teilzunehmen. Komme er dieser Aufforderung innert einer gleichzeitig angesetzten Frist nicht nach, so könnte die Unterstützung durch eine weitere Verfügung gekürzt oder eingestellt werden. Da durch die angefochtene Verfügung die Unterstützung noch nicht gekürzt wurde, handelt es sich bei ihr rechtsprechungsgemäss um einen Zwischenentscheid im Sinne des BGG (vgl. Urteil 8C_871/2011 vom 13. Juni 2012 E. 4.4). Ob der Beschwerdeführer durch den angefochtenen Entscheid tatsächlich einen nicht wieder gutzumachenden Nachteil erleidet und deshalb auf die Beschwerde einzutreten ist, erscheint zweifelhaft, kann vorliegend jedoch - da, wie nachstehende Erwägungen zeigen, bei einem Eintreten die Beschwerde abzuweisen wäre - offenbleiben.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Zu den vom Beschwerdeführer vorab gerügten Verfahrensmängel ist Folgendes festzuhalten:</w:t>
      </w:r>
    </w:p>
    <w:p>
      <w:r>
        <w:rPr>
          <w:b/>
        </w:rPr>
        <w:t>E. 3.1</w:t>
      </w:r>
    </w:p>
    <w:p>
      <w:r>
        <w:t>Gemäss Art. 29 Abs. 2 BV haben die Parteien Anspruch auf rechtliches Gehör. Aus diesem Rechtsgrundsatz fliesst jedoch keine direkte Verpflichtung für die Kantone, die unmittelbaren Vorinstanzen des Bundesgerichts mit der Befugnis auszustatten, auch die Angemessenheit der angefochtenen Entscheide zu überprüfen. Diese Instanzen müssen - abweichende Regelungen in einem Spezialgesetz vorbehalten - von Bundesrechts wegen lediglich mindestens die Rügen prüfen können, welche auch vor Bundesgericht vorgebracht werden können (vgl. Art. 111 Abs. 3 BGG ). Das Bundesgericht überprüft seinerseits die angefochtenen Entscheide grundsätzlich nicht auf ihre Angemessenheit (vgl. etwa Urteil 8C_539/2010 om 21. September 2010 E. 5.4 mit weiterem Hinweis). Die Angemessenheitskontrolle erfolgt im öffentlichen Recht in der Regel im verwaltungsinternen Beschwerdeverfahren und nicht durch die Gerichte (vgl. Markus Schott, Basler Kommentar, Bundesgerichtsgesetz, 2. Aufl. 2011, N. 8 zu Art. 95 BGG ; vgl. auch Urteil 8C_818/2010 vom 2. August 2011 E. 3.3). Somit hat die Vorinstanz nicht gegen Bundesrecht verstossen, als sie es ablehnte, die Angemessenheit des angefochtenen Entscheides zu überprüfen.</w:t>
      </w:r>
    </w:p>
    <w:p>
      <w:r>
        <w:rPr>
          <w:b/>
        </w:rPr>
        <w:t>E. 3.2</w:t>
      </w:r>
    </w:p>
    <w:p>
      <w:r>
        <w:t>Entgegen den Vorbringen des Beschwerdeführers verstösst es nicht gegen seinen Anspruch auf rechtliches Gehör, wenn eine Instanz seine Begehren ohne weitere Äusserungsmöglichkeiten direkt behandelt. Ein Replikrecht kann nur insoweit bestehen, als der Gegenpartei oder weiteren Verfahrensbeteiligten zunächst die Möglichkeit eingeräumt wurde, sich zu den Anträgen des Beschwerdeführers zu äussern.</w:t>
      </w:r>
    </w:p>
    <w:p>
      <w:r>
        <w:rPr>
          <w:b/>
        </w:rPr>
        <w:t>E. 3.3</w:t>
      </w:r>
    </w:p>
    <w:p>
      <w:r>
        <w:t>Nicht nachvollziehbar sind im Weiteren die Ausführungen des Beschwerdeführers, wonach er aufgrund von Art. 305 StGB sich nicht frei vor Gericht habe äussern können. Eine Verletzung des rechtlichen Gehörs liegt diesbezüglich jedenfalls nicht vor.</w:t>
      </w:r>
    </w:p>
    <w:p>
      <w:r>
        <w:rPr>
          <w:b/>
        </w:rPr>
        <w:t>E. 3.4</w:t>
      </w:r>
    </w:p>
    <w:p>
      <w:r>
        <w:t>Soweit der Beschwerdeführer rügt, die Vorinstanz stelle auf rechtswidrig beschaffte Aktennotizen ab, ist festzuhalten, dass der Sachverhalt - soweit dieser für den Ausgang des Verfahrens erheblich ist - unbestritten ist. Somit braucht nicht geprüft zu werden, ob das kantonale Gericht diese Notizen hätte verwenden dürfen oder nicht.</w:t>
      </w:r>
    </w:p>
    <w:p>
      <w:r>
        <w:rPr>
          <w:b/>
        </w:rPr>
        <w:t>E. 4</w:t>
      </w:r>
    </w:p>
    <w:p>
      <w:r>
        <w:t>Materiell ist streitig und zu prüfen, ob die Verpflichtung des Beschwerdeführers, gegen seinen Willen am Programm "Basisbeschäftigung" und nicht wie von ihm gewünscht direkt an einem "Qualifikationsprogramm" teilzunehmen, bundesrechtswidrig ist.</w:t>
      </w:r>
    </w:p>
    <w:p>
      <w:r>
        <w:rPr>
          <w:b/>
        </w:rPr>
        <w:t>E. 4.1</w:t>
      </w:r>
    </w:p>
    <w:p>
      <w:r>
        <w:t>Rechtsprechungsgemäss verstösst es nicht gegen Bundesrecht, wenn die Ausrichtung materieller Hilfe mit der Auflage verbunden wird, einen zeitlich befristeten Arbeitseinsatz an einem Testarbeitsplatz zu leisten. Dabei darf auch in Kauf genommen werden, die betreffende Person durch diese Tätigkeit zeitweise zu unterfordern ( BGE 139 I 218 E. 4 S. 222 ff.). Soweit demnach der Beschwerdeführer rügt, die Verpflichtung, gegen seinen Willen am Programm "Basisbeschäftigung" teilzunehmen, verstosse gegen seine Grundrechte, ist die Beschwerde ohne weiteres abzuweisen.</w:t>
      </w:r>
    </w:p>
    <w:p>
      <w:r>
        <w:rPr>
          <w:b/>
        </w:rPr>
        <w:t>E. 4.2</w:t>
      </w:r>
    </w:p>
    <w:p>
      <w:r>
        <w:t>Das kantonale Gericht hat erwogen, eine direkte Zuführung des Beschwerdeführers zu einem "Qualifikationsprogramm" wäre zwar theoretisch möglich gewesen, es habe jedoch im Ermessen der Sozialbehörde gelegen, diesen zunächst zur Teilnahme am Programm "Basisbeschäftigung" aufzubieten. Die Behörde habe hiebei ihr Ermessen nicht missbräuchlich ausgeübt. Was der Beschwerdeführer gegen diese Erwägungen vorbringt, lässt sie nicht als bundesrechtswidrig erscheinen. Insbesondere vermag er nicht darzutun, dass ihm das Sozialhilferecht des Kantons Zürich einen Anspruch auf eine bestimmte Eingliederungsmassnahme verleihen würde. Es verstösst folglich nicht gegen Bundesrecht, wenn das kantonale Gericht die Auswahl des konkreten Programmes in das pflichtgemäss auszuübende Ermessen der Verwaltung stellt. Das Bestreben, möglichst alle um Sozialhilfe ersuchenden Personen bezüglich der ersten Massnahme zur Wiedereingliederung in das Erwerbsleben als Grundlage für eine geeignete Anschlusslösung gleich zu behandeln, ist dabei ein Gesichtspunkt, der ohne weiteres in die Ausübung des Ermessens einfliessen darf.</w:t>
      </w:r>
    </w:p>
    <w:p>
      <w:r>
        <w:rPr>
          <w:b/>
        </w:rPr>
        <w:t>E. 4.3</w:t>
      </w:r>
    </w:p>
    <w:p>
      <w:r>
        <w:t>Wie das kantonale Gericht zutreffend ausgeführt hat, ist nicht ersichtlich, welche nicht ohne Nachteil rückgängig zu machende Dispositionen (vgl. zu diesem Erfordernis BGE 137 II 182 E. 3.6 S. 193 mit Hinweisen) er aufgrund seines Vertrauens in eine allenfalls unrichtige Auskunft der Sozialbehörden getroffen hätte. Somit kann offenbleiben, inwieweit der Internetauftritt dieser Behörde eine Vertrauensgrundlage schaffen konnte. Die Beschwerde ist demnach abzuweisen, soweit auf sie einzutreten ist.</w:t>
      </w:r>
    </w:p>
    <w:p>
      <w:r>
        <w:rPr>
          <w:b/>
        </w:rPr>
        <w:t>E. 5</w:t>
      </w:r>
    </w:p>
    <w:p>
      <w:r>
        <w:t>Es rechtfertigt sich, vorliegend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