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8C_414/2014 vom 22. September 2015</w:t>
      </w:r>
    </w:p>
    <w:p>
      <w:r>
        <w:t>Bundesgericht, 2015-09-22, FR</w:t>
      </w:r>
    </w:p>
    <w:p>
      <w:r>
        <w:rPr>
          <w:b/>
        </w:rPr>
        <w:t xml:space="preserve">Quelle: </w:t>
      </w:r>
      <w:r>
        <w:t>https://mcp.opencaselaw.ch/entscheid/bger_8C_414_2014</w:t>
      </w:r>
    </w:p>
    <w:p>
      <w:r>
        <w:t>FR: TF 8C_414/2014 du 22 septembre 2015</w:t>
      </w:r>
    </w:p>
    <w:p>
      <w:r>
        <w:t>IT: TF 8C_414/2014 del 22 settembre 2015</w:t>
      </w:r>
    </w:p>
    <w:p>
      <w:pPr>
        <w:pStyle w:val="Heading2"/>
      </w:pPr>
      <w:r>
        <w:t>Erwägungen</w:t>
      </w:r>
    </w:p>
    <w:p>
      <w:r>
        <w:rPr>
          <w:b/>
        </w:rPr>
        <w:t>E. 1</w:t>
      </w:r>
    </w:p>
    <w:p>
      <w:r>
        <w:t>Il n'est pas contesté que dans son rapport d'expertise du 16 mars 2012, le docteur E.________ a fait état de faits nouveaux importants sur le plan médical, lesquels étaient susceptibles de conduire à une appréciation juridique différente de la situation de la recourante. Se fondant sur ces nouveaux éléments, la CNA a accepté de procéder à la révision de sa décision du 18 mars 2009, par laquelle elle avait mis fin au versement des indemnités journalières à compter du 16 mars 2009. Elle est arrivée à la conclusion que l'assurée n'avait pas droit à une rente à partir du 1er mars 2009.</w:t>
      </w:r>
    </w:p>
    <w:p>
      <w:r>
        <w:rPr>
          <w:b/>
        </w:rPr>
        <w:t>E. 2.1</w:t>
      </w:r>
    </w:p>
    <w:p>
      <w:r>
        <w:t>La recourante soutient que son état n'était pas stabilisé en mars 2009. Selon elle, il s'agirait de savoir jusqu'à quand une opération aurait pu et dû être tentée pour connaître la date à partir de laquelle on ne pouvait plus attendre une sensible amélioration de son état de santé. Cette date marquerait la fin du droit aux indemnités journalières et la naissance du droit à une rente éventuelle.</w:t>
      </w:r>
    </w:p>
    <w:p>
      <w:r>
        <w:rPr>
          <w:b/>
        </w:rPr>
        <w:t>E. 2.2</w:t>
      </w:r>
    </w:p>
    <w:p>
      <w:r>
        <w:t>Comme l'ont relevé les premiers juges, on ne saurait guère prendre en considération les effets d'une hypothétique opération sur l'état de santé de la recourante. Une telle appréciation, très aléatoire, pourrait d'ailleurs conduire à la conclusion que si la recourante avait fait l'objet d'un diagnostic exact et bénéficié d'un traitement approprié, elle aurait pu retrouver une pleine capacité de travail dans son activité antérieure d'étampeuse ou de sommelière. Il faut bien plutôt partir de la situation réelle et non pas d'une situation hypothétique. Sur le vu du rapport du docteur E.________, on est fondé à considérer qu'en mars 2009, soit plus d'une année après la chute, la situation était largement stabilisée en ce qui concerne le handicap affectant le bras droit, même si un diagnostic exact n'avait pas été posé. On ne dispose en tout cas pas d'éléments suffisants pour admettre le contraire. Cela étant, l'assurée n'a pas pu continuer son activité d'étampeuse. Elle a repris un emploi de sommelière, tout d'abord à 50 % dès février 2010, mais ses douleurs ont augmenté lorsqu'elle a voulu travailler à 100 % à partir de décembre 2010 (cf. rapport d'expertise du docteur E.________, p. 3). Il convient donc d'examiner si elle peut prétendre une rente à partir du 1</w:t>
      </w:r>
    </w:p>
    <w:p>
      <w:r>
        <w:t>er mars 2009.</w:t>
      </w:r>
    </w:p>
    <w:p>
      <w:r>
        <w:rPr>
          <w:b/>
        </w:rPr>
        <w:t>E. 3</w:t>
      </w:r>
    </w:p>
    <w:p>
      <w:r>
        <w:t>Au moment où la décision du 18 mars 2009 a été rendue, les mesures d'intégration professionnelle mises en place par l'assurance-invalidité avaient déjà pris fin. Aucune autre mesure de réadaptation n'était envisagée. Compte tenu de ce qui précède, il y a lieu de nier d'emblée le droit à une éventuelle rente transitoire au sens de l' art. 30 OLAA (RS 832.202).</w:t>
      </w:r>
    </w:p>
    <w:p>
      <w:r>
        <w:rPr>
          <w:b/>
        </w:rPr>
        <w:t>E. 4.1</w:t>
      </w:r>
    </w:p>
    <w:p>
      <w:r>
        <w:t>Il est constant que les anciennes activités exercées par la recourante, que ce soit dans le domaine de la restauration ou dans celui de l'horlogerie, ne sont pas adaptées à son handicap. En revanche, elle serait à même d'exercer une autre activité à plein temps moyennant les restrictions mentionnées par le docteur E.________. S'écartant des DPT sur lesquelles s'était fondée la CNA pour calculer le revenu d'invalide, la juridiction cantonale s'est référée aux statistiques salariales, sans tenir compte du fait que dans l'activité exercée avant son atteinte à la santé, la recourante percevait un salaire nettement inférieur au salaire moyen de la branche. Même avec un abattement de 25 % compte tenu des limitations fonctionnelles de la recourante, les premiers juges arrivent à un revenu d'invalide de 39'328 fr. 90, correspondant au revenu annuel moyen statistique pour une femme dans une activité simple et répétitive. Comparé au revenu sans invalidité de 42'035 fr., fondé sur les indications fournies par l'entreprise de placement en personnel qui rémunérait la recourante au moment de son accident, il en résultait un taux d'incapacité de gain de 6,43 %, arrondi à 6 % pour 2009.</w:t>
      </w:r>
    </w:p>
    <w:p>
      <w:r>
        <w:rPr>
          <w:b/>
        </w:rPr>
        <w:t>E. 4.2.1</w:t>
      </w:r>
    </w:p>
    <w:p>
      <w:r>
        <w:t>La recourante conteste le montant du revenu sans invalidité retenu par la juridiction cantonale en faisant valoir qu'il ne tient pas compte du fait que son revenu était très nettement inférieur au revenu moyen dans l'industrie horlogère. Elle se réfère pour la première fois à la jurisprudence relative au parallélisme des revenus à comparer ( ATF 135 V 297 ; 134 V 322 ).</w:t>
      </w:r>
    </w:p>
    <w:p>
      <w:r>
        <w:rPr>
          <w:b/>
        </w:rPr>
        <w:t>E. 4.2.2</w:t>
      </w:r>
    </w:p>
    <w:p>
      <w:r>
        <w:t>L'application des principes exposés par la jurisprudence à ce sujet suppose que le revenu (sans invalidité) effectivement réalisé par l'assuré soit notablement inférieur à la moyenne, c'est-à-dire inférieur d'au moins 5 % au salaire statistique usuel dans la branche ( ATF 135 V 297 consid. 6.1.2 p. 302). Le revenu nettement inférieur peut alors justifier un parallélisme des revenus à comparer, lequel doit porter seulement sur la part qui excède le taux déterminant de 5 %. En pratique, le parallélisme des revenus à comparer peut être effectué soit au regard du revenu sans invalidité en augmentant de manière appropriée le revenu effectivement réalisé ou en se référant aux données statistiques, soit au regard du revenu d'invalide en réduisant de manière appropriée la valeur statistique ( ATF 135 V 297 consid. 6.1.3. p. 304; 134 V 322 consid. 4.1 p. 326).</w:t>
      </w:r>
    </w:p>
    <w:p>
      <w:r>
        <w:rPr>
          <w:b/>
        </w:rPr>
        <w:t>E. 4.2.3</w:t>
      </w:r>
    </w:p>
    <w:p>
      <w:r>
        <w:t>L' art. 99 LTF n'interdit pas de présenter une nouvelle argumentation juridique, à la condition toutefois qu'elle se fonde sur des faits constatés dans la décision attaquée ( ATF 136 V 362 consid. 4.1 p. 336; 134 III 643 consid. 5.3.2 p. 651). Par ailleurs, le Tribunal fédéral peut statuer lui-même sur le fond en appliquant le droit fédéral d'office (cf. art.106 al. 1 et 107 al. 2 LTF), n'étant en principe lié ni par les arguments soulevés dans le recours ni par la motivation retenue par l'autorité précédente. En l'occurrence, l'argumentation de la recourante ne repose pas sur des faits nouveaux. La parallélisation invoquée peut s'opérer à partir des faits constatés par la juridiction cantonale. Il n'appartient cependant pas au Tribunal fédéral, en première et unique instance, de se prononcer sur l'argumentation présentée par la recourante. Il convient dès lors de renvoyer la cause à la juridiction cantonale pour qu'elle examine la question soulevée ici. Si elle arrive à la conclusion que les conditions mises à une parallélisation des revenus à comparer sont remplies, elle devra encore examiner dans le cas concret s'il y a lieu, et dans quelle mesure, de procéder à un abattement sur le salaire statistique en raison de circonstances particulières (liées au handicap de la personne ou d'autres facteurs; cf. ATF 126 V 75 consid. 5b/aa-cc p. 79).</w:t>
      </w:r>
    </w:p>
    <w:p>
      <w:r>
        <w:rPr>
          <w:b/>
        </w:rPr>
        <w:t>E. 5</w:t>
      </w:r>
    </w:p>
    <w:p>
      <w:r>
        <w:t>Compte tenu de ce qui précède, le jugement attaqué doit être annulé et la cause renvoyée à la juridiction cantonale pour qu'elle rende un nouveau jugement. Dans cette mesure, le recours se révèle bien fondé.</w:t>
      </w:r>
    </w:p>
    <w:p>
      <w:r>
        <w:rPr>
          <w:b/>
        </w:rPr>
        <w:t>E. 6</w:t>
      </w:r>
    </w:p>
    <w:p>
      <w:r>
        <w:t>Vu l'issue du litige, les frais judiciaires seront mis à la charge de l'intimée qui succombe (art. 66 al. 1 première phrase LTF). Celle-ci versera en outre à la recourante une indemnité de 2'800 fr. à titre de dépens ( art. 68 al. 1 LTF ). Au vu du sort réservé aux frais judiciaires et aux dépens, la requête d'assistance judiciaire déposée par la recourante devient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