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413/2010 vom 26. August 2010</w:t>
      </w:r>
    </w:p>
    <w:p>
      <w:r>
        <w:t>Bundesgericht, 2010-08-26, DE</w:t>
      </w:r>
    </w:p>
    <w:p>
      <w:r>
        <w:rPr>
          <w:b/>
        </w:rPr>
        <w:t xml:space="preserve">Quelle: </w:t>
      </w:r>
      <w:r>
        <w:t>https://mcp.opencaselaw.ch/entscheid/bger_8C_413_2010</w:t>
      </w:r>
    </w:p>
    <w:p>
      <w:r>
        <w:t>FR: TF 8C 413/2010 du 26 août 2010</w:t>
      </w:r>
    </w:p>
    <w:p>
      <w:r>
        <w:t>IT: TF 8C 413/2010 del 26 agosto 2010</w:t>
      </w:r>
    </w:p>
    <w:p>
      <w:pPr>
        <w:pStyle w:val="Heading2"/>
      </w:pPr>
      <w:r>
        <w:t>Regeste</w:t>
      </w:r>
    </w:p>
    <w:p>
      <w:r>
        <w:t>Unfallversicherung (Invalidenrente, Einkommensvergleich)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zum Anspruch auf eine Invalidenrente der Unfallversicherung ( Art. 18 Abs. 1 UVG ) sowie zur Ermittlung des Invaliditätsgrades bei erwerbstätigen Versicherten nach der Einkommensvergleichsmethode ( Art. 16 ATSG ) zutreffend dargelegt. Darauf wird verwiesen.</w:t>
      </w:r>
    </w:p>
    <w:p>
      <w:r>
        <w:rPr>
          <w:b/>
        </w:rPr>
        <w:t>E. 3</w:t>
      </w:r>
    </w:p>
    <w:p>
      <w:r>
        <w:t>Streitig ist einzig das der Ermittlung des Invaliditätsgrades zugrunde zu legende hypothetische Einkommen im Gesundheitsfall. Beschwerdeweise wird wie schon im vorinstanzlichen Verfahren eine Parallelisierung der Vergleichseinkommen zufolge unterdurchschnittlichen Valideneinkommens beantragt.</w:t>
      </w:r>
    </w:p>
    <w:p>
      <w:r>
        <w:rPr>
          <w:b/>
        </w:rPr>
        <w:t>E. 4</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rechtsprechungsgemäss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 BGE 135 V 297 E. 5.1 S. 300 f.; 135 V 58 E. 3.4.1-3.4.6 S. 60 ff.; 134 V 322 E. 4.1 S. 325).</w:t>
      </w:r>
    </w:p>
    <w:p>
      <w:r>
        <w:rPr>
          <w:b/>
        </w:rPr>
        <w:t>E. 5</w:t>
      </w:r>
    </w:p>
    <w:p>
      <w:r>
        <w:t>Das kantonale Gericht hat erwogen, dass das Einkommen des Versicherten als Gesunder mit Temporäranstellungen seit dem Jahr 2003 rund 13 % unter dem entsprechenden Durchschnittslohn gemäss der vom Bundesamt für Statistik herausgegebenen Schweizerischen Lohnstrukturerhebung (LSE) im Baugewerbe gelegen habe. Dem habe die SUVA auch auf Seiten des Invalideneinkommens Rechnung getragen, indem sie zu dessen Berechnung anhand ihrer Dokumentation über Arbeitsplätze (DAP) nicht den Durchschnittslohn aller möglichen Arbeitsplätze herangezogen habe (Fr. 58'785.-), sondern die Auswahl der fünf Stellenprofile ( BGE 129 V 472 ) so getroffen habe, dass sich daraus ein unterdurchschnittliches, um 13,7 % tiefer liegendes Einkommen von Fr. 50'748.- ergeben habe. Im Vergleich zum Valideneinkommen von Fr. 56'970.- resultierte ein Invaliditätsgrad von 11 %.</w:t>
      </w:r>
    </w:p>
    <w:p>
      <w:r>
        <w:rPr>
          <w:b/>
        </w:rPr>
        <w:t>E. 6</w:t>
      </w:r>
    </w:p>
    <w:p>
      <w:r>
        <w:t>Der Beschwerdeführer macht im Wesentlichen geltend, es sei aufgrund der Verfahrensakten nicht ersichtlich und auch nicht nachvollziehbar, inwiefern das Invalideneinkommen absichtlich zu tief bemessen worden sei. Damit sei ihm die gerechtfertigte Parallelisierung auf Seiten des Valideneinkommens vorenthalten worden.</w:t>
      </w:r>
    </w:p>
    <w:p>
      <w:r>
        <w:rPr>
          <w:b/>
        </w:rPr>
        <w:t>E. 7.1</w:t>
      </w:r>
    </w:p>
    <w:p>
      <w:r>
        <w:t>Entscheidwesentlich ist, dass auf invaliditätsfremde Gesichtspunkte zurückzuführende Lohneinbussen entweder überhaupt nicht oder aber bei beiden Vergleichseinkommen gleichmässig zu berücksichtigen sind.</w:t>
      </w:r>
    </w:p>
    <w:p>
      <w:r>
        <w:rPr>
          <w:b/>
        </w:rPr>
        <w:t>E. 7.2</w:t>
      </w:r>
    </w:p>
    <w:p>
      <w:r>
        <w:t>Nicht streitig und daher nicht weiter zu prüfen ist, dass das Valideneinkommen mit Fr. 56'970.- gemäss den Berechnungen des kantonalen Gerichts um rund 13 % unterdurchschnittlich war.</w:t>
      </w:r>
    </w:p>
    <w:p>
      <w:r>
        <w:rPr>
          <w:b/>
        </w:rPr>
        <w:t>E. 7.3</w:t>
      </w:r>
    </w:p>
    <w:p>
      <w:r>
        <w:t>Das Invalideneinkommen wurde von der SUVA anhand von DAP-Blättern auf Fr. 50'748.- festgelegt. Dabei ging sie davon aus, dass eine Erwerbstätigkeit unter Berücksichtigung der Schonkriterien ganztags zumutbar sei, somit bei Ausübung eines dem Leiden angepassten Berufes keine weiteren, namentlich zeitlichen Limitierungen bestünden. Dass es dem Beschwerdeführer möglich sei, nach Eintritt des Gesundheitsschadens einen solchen Lohn zu erzielen, ist nicht bestritten. Eine Verifizierung mittels Beizugs des statistischen Durchschnittslohns ergibt, dass dieser Betrag deutlich unter dem anwendbaren Tabellenlohn liegt. Dieser belief sich gemäss LSE 2008, Tabelle TA1 (S. 23), für Männer, Anforderungsniveau 4 (einfache und repetitive Tätigkeiten), monatlich auf Fr. 4'935.-. Umgerechnet auf die betriebsübliche wöchentliche Arbeitszeit von 41,7 Stunden (Betriebsübliche Arbeitszeit nach Wirtschaftsabteilungen, in Stunden pro Woche; abrufbar unter www.bfs.admin.ch) und angepasst an die Nominallohnentwicklung (Schweizerischer Lohnindex: Index und Veränderung auf der Basis 2005 = 100, 2006-2009, Männer, T1.1.05: 2,1 %; abrufbar unter www.bfs.admin.ch) ergibt sich für das Jahr des Rentenbeginns 2009 ( BGE 128 V 174 , 129 V 222) ein monatliches Einkommen von Fr. 5'253.- beziehungsweise ein Jahreslohn von Fr. 63'033.-. Der statistische Durchschnittslohn ist damit rund 20 % höher als das von der SUVA anhand der DAP-Blätter ermittelte Einkommen. Mit anderen Worten wäre die SUVA, hätte sie auf den LSE-Tabellenlohn abgestellt ( BGE 129 V 472 E. 4.2.1 S. 475), nur unter Berücksichtigung eines leidensbedingten Abzuges vom Durchschnittslohn von etwa 20 % ( BGE 129 V 472 E. 4.2.3 S. 481, 126 V 75 E. 5 S. 78 ff.) zu einem Invalideneinkommen von Fr. 50'748.- gelangt.</w:t>
      </w:r>
    </w:p>
    <w:p>
      <w:r>
        <w:rPr>
          <w:b/>
        </w:rPr>
        <w:t>E. 7.4</w:t>
      </w:r>
    </w:p>
    <w:p>
      <w:r>
        <w:t>Damit wurde den invaliditätsfremden Gründen auch auf Seiten des Invalideneinkommens Rechnung getragen, sodass für eine Parallelisierung durch Heraufsetzung des effektiv erzielten Valideneinkommens kein Raum bleibt, denn entsprechend dem Ziel der Parallelisierung können invaliditätsfremde Gründe nicht doppelt berücksichtigt werden (vgl. BGE 135 V 297 E. 5.3 S. 302; 135 V 58 E. 3.4.3 S. 62; 134 V 322 E. 5.2 in fine S. 328 und E. 6.2 in fine S. 330). Sofern der Beschwerdeführer als Gesunder also aus invaliditätsfremden Gründen im Vergleich mit dem statistischen Durchschnittslohn nur deutlich weniger verdienen konnte, so wurde dieser Umstand bei der Invaliditätsbemessung hinreichend mit einem entsprechend tieferen Invalideneinkommen berücksichtigt.</w:t>
      </w:r>
    </w:p>
    <w:p>
      <w:r>
        <w:rPr>
          <w:b/>
        </w:rPr>
        <w:t>E. 8</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