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8C_413/2008 vom 5. Januar 2009</w:t>
      </w:r>
    </w:p>
    <w:p>
      <w:r>
        <w:t>Bundesgericht, 2009-01-05, DE</w:t>
      </w:r>
    </w:p>
    <w:p>
      <w:r>
        <w:rPr>
          <w:b/>
        </w:rPr>
        <w:t xml:space="preserve">Quelle: </w:t>
      </w:r>
      <w:r>
        <w:t>https://mcp.opencaselaw.ch/entscheid/bger_8C_413_2008</w:t>
      </w:r>
    </w:p>
    <w:p>
      <w:r>
        <w:t>FR: TF 8C_413/2008 du 5 janvier 2009</w:t>
      </w:r>
    </w:p>
    <w:p>
      <w:r>
        <w:t>IT: TF 8C_413/2008 del 5 gennaio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w:t>
      </w:r>
    </w:p>
    <w:p>
      <w:r>
        <w:t>- besonders dramatische Begleitumstände oder besondere Eindrücklichkeit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verschlimmert;</w:t>
      </w:r>
    </w:p>
    <w:p>
      <w:r>
        <w:t>- schwieriger Heilungsverlauf und erhebliche Komplikationen;</w:t>
      </w:r>
    </w:p>
    <w:p>
      <w:r>
        <w:t>- erhebliche Arbeitsunfähigkeit trotz ausgewiesener Anstrengungen.</w:t>
      </w:r>
    </w:p>
    <w:p>
      <w:r>
        <w:t>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2.3</w:t>
      </w:r>
    </w:p>
    <w:p>
      <w:r>
        <w:t>Hat die versicherte Person mehr als einen Unfall mit Schleudertrauma der HWS oder gleichgestellter Verletzung erlitten, so ist die Adäquanz prinzipiell für jeden Unfall gesondert zu beurteilen. In diesem Rahmen ist es nach der Rechtsprechung jedoch nicht generell ausgeschlossen, die wiederholte Betroffenheit desselben Körperteils bei der Adäquanzprüfung zu berücksichtigen. Letzteres ist insbesondere dann denkbar, wenn die Auswirkungen der verschiedenen Ereignisse auf gewisse Beschwerden und/oder auf Grad und Dauer der Arbeitsunfähigkeit nicht von einander abgegrenzt werden können (SVR 2007 UV Nr. 1 S. 1 [U 39/04], E. 3.3.2 mit Hinweisen).</w:t>
      </w:r>
    </w:p>
    <w:p>
      <w:r>
        <w:rPr>
          <w:b/>
        </w:rPr>
        <w:t>E. 3</w:t>
      </w:r>
    </w:p>
    <w:p>
      <w:r>
        <w:t>Der Beschwerdeführer rügt, die beiden Verfügungen vom 25. August 2006 seien ungenügend begründet gewesen.</w:t>
      </w:r>
    </w:p>
    <w:p>
      <w:r>
        <w:rPr>
          <w:b/>
        </w:rPr>
        <w:t>E. 3.1</w:t>
      </w:r>
    </w:p>
    <w:p>
      <w:r>
        <w:t>Über Leistungen, Forderungen und Anordnungen, die erheblich sind oder mit denen die betroffene Person nicht einverstanden ist, hat der Versicherungsträger gemäss Art. 49 Abs. 1 ATSG schriftlich Verfügungen zu erlassen. Die Verfügungen sind zu begründen, wenn sie den Begehren der Parteien nicht voll entsprechen ( Art. 49 Abs. 3 ATSG ). Gegen Verfügungen kann innerhalb von 30 Tagen bei der verfügenden Stelle Einsprache erhoben werden; davon ausgenommen sind prozess- und verfahrensleitende Verfügungen ( Art. 52 Abs. 1 ATSG ). Einsprachen müssen ein Rechtsbegehren und eine Begründung enthalten ( Art. 10 Abs. 1 ATSV ). Das Einspracheverfahren ist kostenlos. Parteientschädigungen werden in der Regel nicht ausgerichtet ( Art. 52 Abs. 3 ATSG ). Die Einspracheentscheide sind innert angemessener Frist zu erlassen. Sie werden begründet und mit einer Rechtsmittelbelehrung versehen ( Art. 52 Abs. 2 ATSG ).</w:t>
      </w:r>
    </w:p>
    <w:p>
      <w:r>
        <w:rPr>
          <w:b/>
        </w:rPr>
        <w:t>E. 3.2</w:t>
      </w:r>
    </w:p>
    <w:p>
      <w:r>
        <w:t>Mit den beiden Verfügungen vom 25. August 2006 stellte die SUVA ihre Leistungen per 31. August 2006 ein. In der einen Verfügung, das Ereignis vom 28. März 2002 betreffend, wird ausgeführt:</w:t>
      </w:r>
    </w:p>
    <w:p>
      <w:r>
        <w:t>"Aufgrund der Abklärungen sind die heute noch geklagten Beschwerden von Herr S.________ organisch nicht hinreichend nachweisbar. Es ist daher die Adäquanz zu prüfen. Nachdem eine psychische Störung im Vordergrund steht, erfolgt die Beurteilung gemäss BGE 115 V 133 . Nach Prüfung der massgebenden Kriterien ist die Adäquanz zu verneinen, weshalb die Versicherungsleistungen per 31.8.06 eingestellt werden."</w:t>
      </w:r>
    </w:p>
    <w:p>
      <w:r>
        <w:t>Die einschlägige Passage der zweiten Verfügung, das Ereignis vom vom 18. März 2003 betreffend, lautet:</w:t>
      </w:r>
    </w:p>
    <w:p>
      <w:r>
        <w:t>"Aufgrund der Abklärungen sind die heute noch geklagten Beschwerden von Herr S.________ organisch nicht hinreichend nachweisbar. Es ist daher die Adäquanz zu prüfen. Die Beurteilung erfolgt gemäss BGE 117 V 359 . Nach Prüfung der massgebenden Kriterien ist die Adäquanz zu verneinen, weshalb die Versicherungsleistungen per 31.8.06 eingestellt werden."</w:t>
      </w:r>
    </w:p>
    <w:p>
      <w:r>
        <w:t>Wie der Beschwerdeführer zutreffend geltend macht, würden diese Ausführungen, in welchen die unfallbezogenen Kriterien nicht aufgezählt werden und in denen keine Auseinandersetzung mit den einzelnen Kriterien enthalten ist, zur Begründung eines Einspracheentscheides nicht ausreichen (Urteil U 150/02 vom 11. November 2002, E 2.2).</w:t>
      </w:r>
    </w:p>
    <w:p>
      <w:r>
        <w:rPr>
          <w:b/>
        </w:rPr>
        <w:t>E. 3.3</w:t>
      </w:r>
    </w:p>
    <w:p>
      <w:r>
        <w:t>Die Einsprache ist ein Rechtsmittel, mit dem der Verfügungsempfänger die Instanz, welche die Verfügung erlassen hat, um nochmalige förmliche und einlässlichere Beurteilung des Streitgegenstandes ersucht (MORGER, Das Einspracheverfahren im Leistungsrecht des Unfallversicherungsgesetzes [UVG], in: SZS 1985, S. 240 ff., S. 241 f.). Daraus folgt, dass die von der Rechtsprechung entwickelten Mindestanforderungen an einen Einspracheentscheid nicht ohne weiteres auf durch Einsprache anfechtbare Verfügungen übertragen werden können. Je geringer die formellen Anforderungen an die Einsprache ausgestaltet sind, desto knapper kann die Begründung der Verfügung ausfallen (KNEUBÜHLER, Die Begründungspflicht, Diss. Bern 1998, S. 196). Damit das Einspracheverfahren nicht seinen Sinn und Zweck verliert, darf die Verwaltung indessen die für die Feststellung des rechtserheblichen Sachverhalts notwendigen Abklärungen nicht in das Einspracheverfahren verschieben ( BGE 132 V 368 E. 5 S. 374). Entsprechend darf die Verwaltung nicht zunächst eine Verfügung mit einer Standard-Begründung erlassen, um in der Folge erst im Einspracheentscheid die im konkreten Fall massgeblichen Gründe für die behördliche Anordnung anzuführen und die Begründung damit gleichsam nachzuschieben. Vielmehr hat sie die Verfügung mit erkennbarer Bezugnahme auf die getätigten Abklärungen zu begründen.</w:t>
      </w:r>
    </w:p>
    <w:p>
      <w:r>
        <w:rPr>
          <w:b/>
        </w:rPr>
        <w:t>E. 3.4</w:t>
      </w:r>
    </w:p>
    <w:p>
      <w:r>
        <w:t>Im Sozialversicherungsrecht sind die formellen Anforderungen an die Einsprache, insbesondere deren Begründung, minimal (vgl. Kommentar zum Erlass der Verordnung über den Allgemeinen Teil des Sozialversicherungsrechts [ATSV], in: AHI 2002, S. 209 ff., S. 222, sowie das Urteil I 664/03 vom 19. November 2004, E. 2.2 mit Hinweis auf den altrechtlichen Entscheid BGE 123 V 128 E. 3 S. 130 ff. sowie auf REICHMUTH, ATSG - [erste] Erfahrungen in der IV, in: Schaffhauser/Kieser [Hrsg.], Praktische Anwendungsfragen des ATSG, St. Gallen 2004, S. 31 ff, S. 44). Den Verfügungen vom 25. August 2006 ist zu entnehmen, dass die Beschwerdegegnerin die vom Versicherten weiterhin geklagten Beschwerden als nicht mehr adäquat kausal durch die beiden Unfallereignisse verursacht ansieht und sie daher ihre Leistungen per 31. August 2006 einstellt. Weiter wird aus den beiden Verfügungen klar ersichtlich, dass die Adäquanz eines allfälligen Kausalzusammenhanges zwischen dem Ereignis vom 28. März 2002 und den anhaltenden Beschwerden aufgrund der getätigten Abklärungen nach Meinung der Verwaltung gemäss der Rechtsprechung, die zu den psychischen Unfallfolgen entwickelt wurde ( BGE 115 V 133 ) zu prüfen ist, während sie für den Unfall vom 18. März 2003 die sog. "Schleudertrauma-Praxis" ( BGE 117 V 359 , vgl. heute auch BGE 134 V 109 ) als anwendbar erklärt. Damit wurde der Beschwerdeführer, welcher bereits im Verfügungszeitpunkt anwaltlich vertreten war, in die Lage versetzt, eine rechtsgenügliche Einsprache zu erheben. Daraus folgt, dass die SUVA ihre Begründungspflicht nicht verletzt hat. Der Antrag auf Ausrichtung einer Parteientschädigung für das Einspracheverfahren ist somit abzuweisen.</w:t>
      </w:r>
    </w:p>
    <w:p>
      <w:r>
        <w:rPr>
          <w:b/>
        </w:rPr>
        <w:t>E. 4</w:t>
      </w:r>
    </w:p>
    <w:p>
      <w:r>
        <w:t>Es ist zu Recht unbestritten, dass der Beschwerdeführer am 31. August 2006 nicht mehr an objektiv hinreichend nachweisbaren Unfallfolgen litt. Demgemäss ist für die Beurteilung der Adäquanz eines allfälligen Kausalzusammenhanges zwischen den beiden Unfallereignisse und den anhaltend geklagten Beschwerden vom augenfälligen Geschehensablauf auszugehen und es sind gegebenenfalls weitere unfallbezogene Kriterien einzubeziehen.</w:t>
      </w:r>
    </w:p>
    <w:p>
      <w:r>
        <w:rPr>
          <w:b/>
        </w:rPr>
        <w:t>E. 5.1</w:t>
      </w:r>
    </w:p>
    <w:p>
      <w:r>
        <w:t>Die Vorinstanz hat das Ereignis vom 28. März 2002 als mittelschwer im Grenzbereich zu den leichten Unfällen qualifiziert. Da sich der Beschwerdeführer erst nach einer Latenzzeit von über 72 Stunden über Beschwerden beklagt habe, seien in die Prüfung der Adäquanz nicht die unfallbezogenen Kriterien der "Schleudertrauma-Praxis" (vgl. BGE 134 V 109 ), sondern jene Kriterien, die für psychische Fehlentwicklungen nach einem Unfall entwickelt wurden ( BGE 115 V 133 E. 6c/aa S. 140), einzubeziehen. Der Unfall habe sich weder unter besonders dramatischen Begleitumständen ereignet, noch sei er von besonderer Eindrücklichkeit gewesen. Da zudem keine körperlichen Unfallfolgen gegeben gewesen wären, müssten die weiteren Kriterien ebenfalls verneint werden. Der Beschwerdeführer bestreitet seinerseits nicht, dass die Adäquanz bei einer Prüfung nach den Kriterien gemäss BGE 115 V 133 E. 6c/aa S. 140 zu verneinen wäre. Er macht indessen geltend, korrekterweise wäre die Adäquanz nach der "Schleudertrauma-Praxis" zu prüfen gewesen.</w:t>
      </w:r>
    </w:p>
    <w:p>
      <w:r>
        <w:rPr>
          <w:b/>
        </w:rPr>
        <w:t>E. 5.2</w:t>
      </w:r>
    </w:p>
    <w:p>
      <w:r>
        <w:t>Rechtsprechungsgemäss findet die "Schleudertrauma-Praxis" nur dann Anwendung, wenn sich innert der Latenzzeit von 24 bis 72 Stunden Beschwerden in der Halsregion und der Halswirbelsäule (HWS) manifestieren (SVR 2007 UV Nr. 23 S. 75 E. 5 [U 215/05]; RKUV 2000 Nr. U 359 S. 29 [U 264/97]). Daran ist auch nach der jüngsten Präzisierung dieser Praxis ( BGE 134 V 109 ) festzuhalten (vgl. die Urteile 8C_141/2007 vom 28. Juli 2008, E. 5.3.2, 8C_583/2007 vom 10. Juni 2008, E. 2.2 und 8C_721/2007 vom 9. Juni 2008. E. 3.2).</w:t>
      </w:r>
    </w:p>
    <w:p>
      <w:r>
        <w:rPr>
          <w:b/>
        </w:rPr>
        <w:t>E. 5.3</w:t>
      </w:r>
    </w:p>
    <w:p>
      <w:r>
        <w:t>Der Beschwerdeführer schilderte dem Vertreter der Versicherung am 3. Juni 2002, nach dem Ereignis vom 28. März 2002 zunächst keine Schmerzen verspürt zu haben. Sein Vorgesetzter habe ihn zwar zu einer ärztlichen Kontrolluntersuchung geschickt, der Arzt habe indessen keine Verletzung gefunden. Kopfschmerzen und Schmerzen an der HWS seien erstmals am 4. April 2002 aufgetreten. Gegenüber den neurologischen Gutachter des Instituts Y.________ berichtete der Versicherte am 19. Dezember 2005, die Beschwerden seien erstmals ungefähr eine Woche nach dem Unfall während der Arbeit beim Heben eines schweren Granitsteines aufgetreten. Die Vorinstanz hat somit zu Recht festgestellt, dass Beschwerden in der Halsregion und der HWS sich erst klar über 72 Stunden nach dem Unfallereignis manifestiert haben.</w:t>
      </w:r>
    </w:p>
    <w:p>
      <w:r>
        <w:rPr>
          <w:b/>
        </w:rPr>
        <w:t>E. 5.4</w:t>
      </w:r>
    </w:p>
    <w:p>
      <w:r>
        <w:t>Wie das kantonale Gericht zutreffend ausgeführt hat, ist somit die Adäquanz eines allfälligen Kausalzusammenhanges zwischen dem Unfallereignis vom 28. März 2002 und den anhaltend geklagten Beschwerden unter Berücksichtigung der unfallbezogenen Kriterien gemäss BGE 115 V 133 E. 6c/aa S. 140 zu prüfen. Die ausführlichen vorinstanzlichen Erwägungen zur Unfallschwere und zu den einzelnen Kriterien wurden vom Beschwerdeführer zu Recht nicht gerügt. Die Adäquanz eines allfälligen Kausalzusammenhanges ist somit zu verneinen.</w:t>
      </w:r>
    </w:p>
    <w:p>
      <w:r>
        <w:rPr>
          <w:b/>
        </w:rPr>
        <w:t>E. 6.1</w:t>
      </w:r>
    </w:p>
    <w:p>
      <w:r>
        <w:t>Es ist zu Recht unstreitig, dass die Adäquanz eines allfälligen Kausalzusammenhanges zwischen dem zweiten Unfallereignis - jenem vom 18. März 2003 - und den anhaltend geklagten Beschwerden nach der "Schleudertrauma-Praxis" zu prüfen ist.</w:t>
      </w:r>
    </w:p>
    <w:p>
      <w:r>
        <w:rPr>
          <w:b/>
        </w:rPr>
        <w:t>E. 6.2</w:t>
      </w:r>
    </w:p>
    <w:p>
      <w:r>
        <w:t>Die Schwere des Unfalles ist aufgrund des augenfälligen Geschehensablaufs mit den sich dabei entwickelnden Kräften zu bestimmen (SVR 2008 UV Nr. 8 S. 26, E. 5.3.1 [U 2/07]). Dabei werden einfache Auffahrkollisionen auf ein haltendes Fahrzeug in der Regel als mittelschwerer Unfall im Grenzbereich zu den leichten Unfällen betrachtet (RKUV 2005 Nr. U 549 S. 236 E. 5.1.2 S. 237 [U 380/04]). Die entsprechende Qualifikation des Unfallereignisses vom 18. März 2003 durch die Vorinstanz ist nicht zu beanstanden. Die Adäquanz des Kausalzusammenhanges wäre somit dann zu bejahen, wenn eines der in E. 2.2 hievor aufgezählten Adäquanzkriterien in besonders ausgeprägter Weise erfüllt wäre, oder wenn mehrere dieser Kriterien in gehäufter oder auffallender Weise erfüllt wären.</w:t>
      </w:r>
    </w:p>
    <w:p>
      <w:r>
        <w:rPr>
          <w:b/>
        </w:rPr>
        <w:t>E. 6.3.1</w:t>
      </w:r>
    </w:p>
    <w:p>
      <w:r>
        <w:t>Vom Beschwerdeführer werden zu Recht weder eine ärztliche Fehlbehandlung noch besonders dramatische Begleitumstände des Ereignisses oder eine besondere Eindrücklichkeit des Unfalles geltend gemacht. Die beiden Kriterien sind nicht erfüllt.</w:t>
      </w:r>
    </w:p>
    <w:p>
      <w:r>
        <w:rPr>
          <w:b/>
        </w:rPr>
        <w:t>E. 6.3.2</w:t>
      </w:r>
    </w:p>
    <w:p>
      <w:r>
        <w:t>Das Bundesgericht hat im erwähnten Urteil BGE 134 V 109 , E. 10.2.2 S. 127 f. seine Rechtsprechung bestätigt, wonach die Diagnose einer HWS-Distorsion für sich allein nicht zur Bejahung des Kriteriums der Schwere und besonderen Art der erlittenen Verletzung genügt.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Daneben 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w:t>
      </w:r>
    </w:p>
    <w:p>
      <w:r>
        <w:t>Der Beschwerdeführer macht geltend, die von ihm beim zweiten Unfall erlittene Verletzung sei aufgrund des ersten Unfalles als von besonderer Art zu betrachten. Entgegen der Ansicht des Versicherten ist indessen nicht bereits deshalb eine Verletzung besonderer Art anzunehmen, weil der Versicherte bereits in der Vergangenheit einmal einen Auffahrunfall erlitten hat (vgl. auch Urteile 8C_759/2007 vom 14. August 2008, E. 5.3 und 8C_61/2008 vom 10. Juli 2008, E. 7.3.2). Vielmehr rechtfertigt sich eine entsprechende Qualifikation der erlittenen Verletzungen nur bei Vorliegen einer erheblich vorgeschädigten Wirbelsäule (vgl. Urteil 8C_785/2007 vom 11. Juni 2008, E. 4.4). Da der erste Unfall nicht die Anwendung der "Schleudertrauma-Praxis" rechtfertigt (vgl. E. 5 hievor), ist nicht davon auszugehen, dass die Wirbelsäule aufgrund dieses ersten Unfalles im Zeitpunkt des zweiten Unfalles (18. März 2003) dermassen erheblich vorgeschädigt war, dass die erlittene Distorsion als Verletzung besonderer Art zu qualifizieren wäre.</w:t>
      </w:r>
    </w:p>
    <w:p>
      <w:r>
        <w:rPr>
          <w:b/>
        </w:rPr>
        <w:t>E. 6.3.3</w:t>
      </w:r>
    </w:p>
    <w:p>
      <w:r>
        <w:t>Neu gefasst wurde in BGE 134 V 109 E. 10.2.3 S. 128 das Kriterium der ärztlichen Behandlung. Nunmehr ist zu seiner Bejahung erforderlich, dass nach dem Unfall fortgesetzt eine spezifische, die versicherte Person belastende ärztliche Behandlung bis zum Fallabschluss notwendig war. Eine solche ist vorliegend nicht ersichtlich, womit auch dieses Kriterium nicht gegeben ist.</w:t>
      </w:r>
    </w:p>
    <w:p>
      <w:r>
        <w:rPr>
          <w:b/>
        </w:rPr>
        <w:t>E. 6.3.4</w:t>
      </w:r>
    </w:p>
    <w:p>
      <w:r>
        <w:t>Adäquanzrelevant können sodann nur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 BGE 134 V 109 E. 10.2.4 S. 128; Urteil 8C_415/2007 vom 1. Juli 2008, E. 7.4). Gemäss den Angaben des Versicherten gegenüber den Gutachtern des ZMB (vgl. Gutachten vom 27. März 2007) leidet er an Schmerzen, welche in unregelmässigen Abständen etwa einmal pro Woche während eines Tages auftreten würden; er sei dann nicht arbeitsfähig. Zwischen den Schmerzepisoden sei er gänzlich beschwerdefrei und fühle sich ausgesprochen gut. Somit kann nicht von ohne wesentlichen Unterbruch bestehenden erheblichen Beschwerden gesprochen werden; das Kriterium ist nicht erfüllt.</w:t>
      </w:r>
    </w:p>
    <w:p>
      <w:r>
        <w:rPr>
          <w:b/>
        </w:rPr>
        <w:t>E. 6.3.5</w:t>
      </w:r>
    </w:p>
    <w:p>
      <w:r>
        <w:t>Der Heilungsverlauf kann nicht als schwierig bezeichnet werden; zur Bejahung dieses Kriteriums braucht es besondere Gründe, welche die Heilung beeinträchtigt haben (vgl. Urteile U 590/06 vom 7. Februar 2008, E. 4.3.2 und 8C_61/2008 vom 10. Juli 2008, E. 7.6). Solche wurden nicht dargetan.</w:t>
      </w:r>
    </w:p>
    <w:p>
      <w:r>
        <w:rPr>
          <w:b/>
        </w:rPr>
        <w:t>E. 6.3.6</w:t>
      </w:r>
    </w:p>
    <w:p>
      <w:r>
        <w:t>Was schliesslich das durch BGE 134 V 109 E. 10.2.7 S. 129 f. präzisierte Kriterium der erheblichen Arbeitsunfähigkeit trotz ausgewiesener Anstrengungen betrifft, gilt festzustellen, dass selbst wenn dies bejaht werden könnte, es jedenfalls nicht in ausgeprägter Weise gegeben ist.</w:t>
      </w:r>
    </w:p>
    <w:p>
      <w:r>
        <w:rPr>
          <w:b/>
        </w:rPr>
        <w:t>E. 6.4</w:t>
      </w:r>
    </w:p>
    <w:p>
      <w:r>
        <w:t>Da mithin keines der massgeblichen Kriterien besonders ausgeprägt vorliegt und selbst dann, wenn man zugunsten des Versicherten das Kriterium der erheblichen Arbeitsunfähigkeit trotz ausgewiesener Anstrengungen als erfüllt erachten würde, die Kriterien nicht in gehäufter oder auffallender Weise gegeben sind, haben Vorinstanz und Verwaltung die Adäquanz eines allfälligen Kausalzusammenhanges zwischen dem Unfallereignis vom 18. März 2003 und den über den 31. August 2006 hinaus anhaltend geklagten Beschwerden zu Recht verneint.</w:t>
      </w:r>
    </w:p>
    <w:p>
      <w:r>
        <w:rPr>
          <w:b/>
        </w:rPr>
        <w:t>E. 7</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