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412/2011 vom 30. April 2012</w:t>
      </w:r>
    </w:p>
    <w:p>
      <w:r>
        <w:t>Bundesgericht, 2012-04-30, FR</w:t>
      </w:r>
    </w:p>
    <w:p>
      <w:r>
        <w:rPr>
          <w:b/>
        </w:rPr>
        <w:t xml:space="preserve">Quelle: </w:t>
      </w:r>
      <w:r>
        <w:t>https://mcp.opencaselaw.ch/entscheid/bger_8C_412_2011</w:t>
      </w:r>
    </w:p>
    <w:p>
      <w:r>
        <w:t>FR: TF 8C 412/2011 du 30 avril 2012</w:t>
      </w:r>
    </w:p>
    <w:p>
      <w:r>
        <w:t>IT: TF 8C 412/2011 del 30 aprile 2012</w:t>
      </w:r>
    </w:p>
    <w:p>
      <w:pPr>
        <w:pStyle w:val="Heading2"/>
      </w:pPr>
      <w:r>
        <w:t>Regeste</w:t>
      </w:r>
    </w:p>
    <w:p>
      <w:r>
        <w:t>Assurance-accidents (notification d'und dicision) | Assurance-accidents</w:t>
      </w:r>
    </w:p>
    <w:p>
      <w:pPr>
        <w:pStyle w:val="Heading2"/>
      </w:pPr>
      <w:r>
        <w:t>Erwägungen</w:t>
      </w:r>
    </w:p>
    <w:p>
      <w:r>
        <w:rPr>
          <w:b/>
        </w:rPr>
        <w:t>E. 1</w:t>
      </w:r>
    </w:p>
    <w:p>
      <w:r>
        <w:t>Le jugement attaqué est une décision de renvoi, soit une décision incidente au sens de l' art. 93 LTF et un recours n'est admissible qu'aux conditions posées au premier alinéa, let. a et b de cette disposition. En tant qu'il est obligé par le jugement cantonal de renvoi de statuer dans un sens qui lui paraît contraire au droit, l'assureur-accidents subit sans aucun doute un préjudice irréparable au sens de l' art. 93 al. 1 let. a LTF (cf. ATF 133 V 477 consid. 5.2.4 p. 484 s.; arrêts 8C_478/2010 du 25 mars 2011 consid. 1.2; 8C_607/2009 du 25 août 2009 consid. 2.2.1; 2C_258/2008 du 27 mars 2009 consid. 3.6.1). Le recours en matière de droit public est dès lors admissible, bien que la recourante n'allègue pas un tel préjudice.</w:t>
      </w:r>
    </w:p>
    <w:p>
      <w:r>
        <w:rPr>
          <w:b/>
        </w:rPr>
        <w:t>E. 2</w:t>
      </w:r>
    </w:p>
    <w:p>
      <w:r>
        <w:t>Le recours en matière de droit public remplit en outre les conditions de recevabilité posées aux art. 82 à 85 LTF. Partant, en raison de son caractère subsidiaire, le recours constitutionnel n'est pas recevable ( art. 113 LTF ).</w:t>
      </w:r>
    </w:p>
    <w:p>
      <w:r>
        <w:rPr>
          <w:b/>
        </w:rPr>
        <w:t>E. 3.1</w:t>
      </w:r>
    </w:p>
    <w:p>
      <w:r>
        <w:t>Le jugement entrepris expose de manière exacte la réglementation concernant le délai d'opposition contre les décisions ( art. 52 al. 1 LPGA ), le calcul de ce délai ( art. 38 al. 1 LPGA ), ainsi que les conséquences d'une notification irrégulière ( art. 49 al. 3, troisième phrase, LPGA ). Il suffit dès lors d'y renvoyer. En outre, l' art. 38 al. 2bis LPGA dispose qu'une communication qui n'est remise que contre la signature du destinataire ou d'un tiers habilité est réputée reçue au plus tard sept jours après la première tentative infructueuse de distribution.</w:t>
      </w:r>
    </w:p>
    <w:p>
      <w:r>
        <w:rPr>
          <w:b/>
        </w:rPr>
        <w:t>E. 3.2</w:t>
      </w:r>
    </w:p>
    <w:p>
      <w:r>
        <w:t>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8C_621/2007 du 5 mai 2008 consid. 4.2;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2C_780/2010 du 21 mars 2011 consid. 2.4; 2C_38/2009 du 5 juin 2009 consid. 4.1).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2C_38/2009 du 5 juin 2009 consid. 5.3) ou lorsque la mention «avisé pour retrait» ne figurait pas dans le résultat des recherches effectuées par la Poste au moyen du système «Track &amp; Trace» (arrêt 2C_780/2010 du 21 mars 2011 consid. 2.7).</w:t>
      </w:r>
    </w:p>
    <w:p>
      <w:r>
        <w:rPr>
          <w:b/>
        </w:rPr>
        <w:t>E. 4.1</w:t>
      </w:r>
    </w:p>
    <w:p>
      <w:r>
        <w:t>Se fondant sur la règle du degré de vraisemblance prépondérante, la juridiction cantonale a constaté que l'avis de retrait de l'envoi recommandé contenant la décision du 16 septembre 2010 n'avait pas été déposé dans la boîte aux lettres de J.________. Celle-ci et l'assurée à qui il arrivait de relever le courrier dans cette boîte aux lettres ont déclaré, en effet, qu'aucun avis de retrait n'avait été déposé. En outre, les premiers juges ont retenu le témoignage de J.________ selon lequel sa voisine, qui portait antérieurement le même nom qu'elle, avait parfois reçu du courrier à son nom et inversement; en outre, dans son immeuble, le facteur ne se présentait pas à la porte avec un envoi recommandé mais déposait directement l'avis de retrait dans la boîte aux lettres.</w:t>
      </w:r>
    </w:p>
    <w:p>
      <w:r>
        <w:rPr>
          <w:b/>
        </w:rPr>
        <w:t>E. 4.2</w:t>
      </w:r>
    </w:p>
    <w:p>
      <w:r>
        <w:t>En l'occurrence, les déclarations de l'assurée et du témoin retenues par la juridiction cantonale ne suffisent pas pour renverser la présomption que l'avis de retrait a été déposé régulièrement dans la boîte aux lettres. Sur le vu des allégations de l'intéressée et des déclarations du témoin, l'éventualité que l'avis de retrait n'aurait pas été déposé dans la boîte aux lettres n'apparaît pas plus vraisemblable que la possibilité que cette pièce eût échappé à l'attention de la destinataire ou de son hôte. Quant au risque de confusion avec la boîte aux lettres d'une voisine, il ne paraît pas non plus déterminant dès lors que le nom Z.________ ne figurait plus sur cette boîte aux lettres au moment des faits et que lorsqu'une confusion avait eu lieu par le passé, cette voisine avait rapporté le courrier à sa véritable destinataire. Par ailleurs, on ne peut déduire aucun indice en faveur de l'absence de dépôt de l'avis de retrait du seul fait que le facteur ne se présentait pas à la porte avec un envoi recommandé mais avait pour habitude de déposer directement l'avis de retrait dans la boîte aux lettres. Cela étant, les déclarations de l'assurée et le témoignage de J.________ ne font apparaître aucune circonstance qui justifierait, selon la jurisprudence (cf. consid. 2.2), le renversement de la présomption que l'avis de retrait a été déposé régulièrement dans la boîte aux lettres. Vu ce qui précède, la remise de l'avis est censée avoir eu lieu au jour attesté par le facteur, soit le 18 septembre 2010, de sorte que la décision notifiée sous pli recommandé est réputée avoir été notifiée sept jours après cette date, soit le 25 septembre suivant. Dans la mesure où elle a été formée le 8 novembre 2010, soit plus de trente jours après la notification de cette décision, l'opposition est donc tardive ( art. 52 al. 1 LPGA ). La décision sur opposition du 22 novembre 2010 n'est dès lors pas critiquable et le recours en matière de droit public se révèle bien fondé.</w:t>
      </w:r>
    </w:p>
    <w:p>
      <w:r>
        <w:rPr>
          <w:b/>
        </w:rPr>
        <w:t>E. 5</w:t>
      </w:r>
    </w:p>
    <w:p>
      <w:r>
        <w:t>Les frais de la cause sont mis à la charge de l'intimée ( art. 66 al. 1 LTF ). La recourante ne peut se voir 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