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8C_411/2013 vom 26. März 2014</w:t>
      </w:r>
    </w:p>
    <w:p>
      <w:r>
        <w:t>Bundesgericht, 2014-03-26, FR</w:t>
      </w:r>
    </w:p>
    <w:p>
      <w:r>
        <w:rPr>
          <w:b/>
        </w:rPr>
        <w:t xml:space="preserve">Quelle: </w:t>
      </w:r>
      <w:r>
        <w:t>https://mcp.opencaselaw.ch/entscheid/bger_8C_411_2013</w:t>
      </w:r>
    </w:p>
    <w:p>
      <w:r>
        <w:t>FR: TF 8C_411/2013 du 26 mars 2014</w:t>
      </w:r>
    </w:p>
    <w:p>
      <w:r>
        <w:t>IT: TF 8C_411/2013 del 26 marzo 2014</w:t>
      </w:r>
    </w:p>
    <w:p>
      <w:pPr>
        <w:pStyle w:val="Heading2"/>
      </w:pPr>
      <w:r>
        <w:t>Erwägungen</w:t>
      </w:r>
    </w:p>
    <w:p>
      <w:r>
        <w:rPr>
          <w:b/>
        </w:rPr>
        <w:t>E. 1</w:t>
      </w:r>
    </w:p>
    <w:p>
      <w:r>
        <w:t>Le jugement attaqué a été rendu par une autorité cantonale de dernière instance dans une cause de droit public ( art. 86 al. 1 let . d et al. 2 LTF), sans qu'aucune des exceptions prévues par l' art. 83 LTF ne soit réalisée. Il peut donc faire l'objet d'un recours en matière de droit public au sens des art. 82 ss LTF , de sorte que le recours constitutionnel subsidiaire est exclu ( art. 113 LTF ). Cela étant, l'intitulé erroné d'un recours ne nuit pas à son auteur, pour autant que les conditions de recevabilité du recours qui aurait dû être interjeté soient réunies ( ATF 134 III 379 consid. 1.2 p. 382). Dans ces conditions, les griefs soulevés dans la partie du recours intitulée " recours constitutionnel subsidiaire " peuvent être traités dans le cadre du recours en matière de droit public (cf. arrêts 5A_677/2013 du 6 décembre 2013 consid. 1.2; 5A_916/2012 du 12 février 2013 consid. 1.3; 1C_36/2010 du 18 février 2011 consid. 2).</w:t>
      </w:r>
    </w:p>
    <w:p>
      <w:r>
        <w:rPr>
          <w:b/>
        </w:rPr>
        <w:t>E. 2.1</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4A_425/2012 du 26 février 2013 consid. 3.1.2).</w:t>
      </w:r>
    </w:p>
    <w:p>
      <w:r>
        <w:rPr>
          <w:b/>
        </w:rPr>
        <w:t>E. 2.2</w:t>
      </w:r>
    </w:p>
    <w:p>
      <w:r>
        <w:t>La recourante soutient qu'elle n'a appris qu'à la lecture de l'arrêt du 29 avril 2013 que la juge P.________ faisait partie de la composition de la Cour ayant statué sur son recours alors que dans un courrier du 15 avril 2013, la Cour de droit administratif et public lui avait expressément signalé qu'elle statuerait dans une composition constituée du président R.________ ainsi que des juges assesseurs T.________ et G.________, ce dernier en remplacement de P.________.</w:t>
      </w:r>
    </w:p>
    <w:p>
      <w:r>
        <w:rPr>
          <w:b/>
        </w:rPr>
        <w:t>E. 2.3</w:t>
      </w:r>
    </w:p>
    <w:p>
      <w:r>
        <w:t>Invoquant une violation des art. 6 § 1 CEDH et 28 Cst-VD, la recourante soutient que, du fait de la présence de la juge assesseur P.________, laquelle était " une ancienne collègue " de travail, l'autorité précédente ne constituait pas un tribunal indépendant et impartial.</w:t>
      </w:r>
    </w:p>
    <w:p>
      <w:r>
        <w:rPr>
          <w:b/>
        </w:rPr>
        <w:t>E. 2.4</w:t>
      </w:r>
    </w:p>
    <w:p>
      <w:r>
        <w:t>La garantie d'un tribunal indépendant et impartial résultant des art. 28 Cst -VD (RSV 101.01) et 6 §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des circonstances objectivement constatées doivent être prises en compte, les impressions purement subjectives de la partie qui demande la récusation n'étant pas décisives ( ATF 137 I 227 consid. 2.1 p. 229; 136 III 605 consid. 3.2.1 p. 608 s.; 136 I 207 consid. 3.1 p. 210; 134 I 20 consid. 4.2 p. 21, 238 consid. 2.1 p. 240).</w:t>
      </w:r>
    </w:p>
    <w:p>
      <w:r>
        <w:t>Il a déjà été jugé qu'une relation d'amitié ou d'inimitié entre un juge et une personne intéressée à l'issue de la procédure, telle qu'une partie ou son mandataire,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 ATF 138 I 1 consid. 2.4 p. 5).</w:t>
      </w:r>
    </w:p>
    <w:p>
      <w:r>
        <w:rPr>
          <w:b/>
        </w:rPr>
        <w:t>E. 2.5</w:t>
      </w:r>
    </w:p>
    <w:p>
      <w:r>
        <w:t>En l'espèce, la recourante ne prétend pas qu'il existerait une inimitié particulière entre elle et la juge concernée. Le seul fait que la juge en question aurait été une collègue de travail de la recourante (on ne sait cependant ni à quel moment, ni dans quelles circonstances), ne suffit pas, en l'absence de lien particulier au sens de la jurisprudence, à fonder une apparence de partialité de ladite magistrate. En l'absence d'indice permettant objectivement de retenir une quelconque apparence de prévention, en particulier une inimitié entre la juge et la recourante, le grief de violation des art. 6 § 1 CEDH et 28 Cst-VD n'est pas fondé.</w:t>
      </w:r>
    </w:p>
    <w:p>
      <w:r>
        <w:rPr>
          <w:b/>
        </w:rPr>
        <w:t>E. 3.1</w:t>
      </w:r>
    </w:p>
    <w:p>
      <w:r>
        <w:t>Sur le fond, les premiers juges ont confirmé la décision du SPAS du 28 août 2012, par laquelle ce dernier a déclaré irrecevable le recours interjeté par D.________ le 14 août 2012, au motif que la lettre du 20 juillet 2012 ne constituait pas une décision.</w:t>
      </w:r>
    </w:p>
    <w:p>
      <w:r>
        <w:t>La recourante soutient que la juridiction cantonale a fait preuve de formalisme excessif en considérant son recours du 14 août 2012 irrecevable en tant qu'il était dirigé contre la lettre du 20 juillet 2012 et en n'admettant pas qu'il puisse être dirigé - en temps utile compte tenu des féries - contre la décision du 19 juin 2012.</w:t>
      </w:r>
    </w:p>
    <w:p>
      <w:r>
        <w:rPr>
          <w:b/>
        </w:rPr>
        <w:t>E. 3.2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(cf. ATF 135 I 6 consid. 2.1 p. 9).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(cf. ATF 125 I 166 consid. 3a p. 170; arrêt 1C_39/2013 du 11 mars 2013 consid. 2.1).</w:t>
      </w:r>
    </w:p>
    <w:p>
      <w:r>
        <w:rPr>
          <w:b/>
        </w:rPr>
        <w:t>E. 3.3</w:t>
      </w:r>
    </w:p>
    <w:p>
      <w:r>
        <w:t>La décision de restitution du 3 août 2011 a été confirmée le 19 juin 2012. Le délai de recours contre cette nouvelle décision a expiré le 22 août 2012, compte tenu des féries judiciaires prévues par le droit cantonal (cf. jugement cantonal consid. 2 p. 9). Si l'écriture de la recourante du 14 août 2012 devait être considérée comme un recours contre la décision du 19 juin 2012, le délai aurait donc été respecté.</w:t>
      </w:r>
    </w:p>
    <w:p>
      <w:r>
        <w:t>Dans son courrier du 14 août 2012, la recourante a contesté clairement son obligation de restituer le montant de 1'574 fr. 30. En présence d'une telle contestation et du moment que le délai de recours contre la décision du 19 juin 2012 n'était pas encore expiré, le SPAS devait considérer ce courrier comme un recours contre ladite décision et le transmettre à la juridiction cantonale comme le prévoit l'art. 7 al. 1 de la loi vaudoise du 28 octobre 2008 sur la procédure administrative (LPA-VD; RSV 173.36) - cité dans le jugement attaqué et selon lequel l'autorité qui s'estime incompétente transmet la cause sans délai à l'autorité qu'elle juge compétente -. Peu importe que la recourante soit partie de l'idée erronée que le délai était expiré et qu'elle ait cru pouvoir recourir seulement contre la communication du 20 juillet 2012, laquelle n'ouvrait pas un nouveau délai de recours. L'intention de la recourante était quoi qu'il en soit de contester l'ordre de restitution qui lui avait été signifié. Selon les constatations du jugement attaqué, le délai de recours venait à échéance le mercredi 22 août 2012. La lettre du 14 août est parvenue à l'autorité le 15 août 2012 (selon le timbre apposé sur cette lettre). Le SPAS ne pouvait se contenter de refuser d'entrer en matière. A tout le moins aurait-il dû inviter la recourante à lui faire savoir si elle entendait que son mémoire du 14 août 2012 soit traité comme un recours dirigé contre la décision du 19 juin 2012 et, le cas échéant, le transmettre à l'autorité judiciaire. En déclarant irrecevable son recours du 14 août 2012 au motif que celui-ci était dirigé contre la lettre du 20 juillet 2012, il a fait preuve de formalisme excessif, tout comme la juridiction cantonale qui a confirmé cette manière de procéder. Il y a dès lors lieu d'annuler le jugement entrepris et de renvoyer la cause à la Cour de droit administratif et public du tribunal cantonal pour qu'elle se saisisse du recours interjeté le 14 août 2012 contre la décision du 19 juin 2012.</w:t>
      </w:r>
    </w:p>
    <w:p>
      <w:r>
        <w:rPr>
          <w:b/>
        </w:rPr>
        <w:t>E. 4</w:t>
      </w:r>
    </w:p>
    <w:p>
      <w:r>
        <w:t>Le recours est bien fondé. Les frais de la cause et les dépens seront supportés par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