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8C_410/2015 vom 24. November 2015</w:t>
      </w:r>
    </w:p>
    <w:p>
      <w:r>
        <w:t>Bundesgericht, 2015-11-24, DE</w:t>
      </w:r>
    </w:p>
    <w:p>
      <w:r>
        <w:rPr>
          <w:b/>
        </w:rPr>
        <w:t xml:space="preserve">Quelle: </w:t>
      </w:r>
      <w:r>
        <w:t>https://mcp.opencaselaw.ch/entscheid/bger_8C_410_2015</w:t>
      </w:r>
    </w:p>
    <w:p>
      <w:r>
        <w:t>FR: TF 8C_410/2015 du 24 novembre 2015</w:t>
      </w:r>
    </w:p>
    <w:p>
      <w:r>
        <w:t>IT: TF 8C_410/2015 del 24 novembre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Die Vorinstanz hat die Bestimmungen und Grundsätze über die Begriffe der Invalidität ( Art. 8 Abs. 1 ATSG ) und der Erwerbsunfähigkeit ( Art. 7 Abs. 1 ATSG ), den Anspruch auf eine Invalidenrente ( Art. 28 Abs. 2 IVG ), die allgemeine Methode des Einkommensvergleichs zur Ermittlung des Invaliditätsgrades ( Art. 16 ATSG ), einschliesslich der Begriffe des Validen- und Invalideneinkommens ( BGE 135 V 297 E. 5.1 und 5.2 S. 300), sowie die Aufgabe des Arztes bei der Ermittlung des Invaliditätsgrades ( BGE 140 V 193 E. 3.2 S. 195, 132 V 93 E. 4 S. 99) und die Anforderungen an ärztliche Berichte ( BGE 134 V 231 E. 5.1 S. 232; 125 V 351 E. 3a S. 352 mit Hinweis) zutreffend dargelegt. Dasselbe gilt für die Pflichten der versicherten Person ( Art. 7 IVG ), den Begriff der zumutbaren Massnahmen ( Art. 7a IVG ) sowie die Kürzung oder Verweigerung von Leistungen infolge Pflichtverletzungen der versicherten Person ( Art. 7b Abs. 1 IVG ). Weiter sind die Bestimmungen und Grundsätze über den Rentenbeginn ( Art. 29 Abs. 1 lit. b IVG in der bis 31. Dezember 2007 geltenden Fassung), den massgebenden Zeitpunkt des Einkommensvergleichs ( BGE 129 V 222 ) und die Zeitpunkte der Herab- oder Heraufsetzung einer Invalidenrente bei veränderten Verhältnissen ( Art. 88a Abs. 1 und 2 IVV ) zutreffend wiedergegeben. Darauf wird verwiesen.</w:t>
      </w:r>
    </w:p>
    <w:p>
      <w:r>
        <w:rPr>
          <w:b/>
        </w:rPr>
        <w:t>E. 3.1</w:t>
      </w:r>
    </w:p>
    <w:p>
      <w:r>
        <w:t>Der Versicherte rügt, der vorinstanzlich festgestellte Sachverhalt sei unzutreffend, weil das Gericht verschiedene aktenkundige Tatsachen übersehen habe. Zudem sei das MEDAS-Gutachten vom 22. Februar 2013 unvollständig und nicht schlüssig.</w:t>
      </w:r>
    </w:p>
    <w:p>
      <w:r>
        <w:rPr>
          <w:b/>
        </w:rPr>
        <w:t>E. 3.2</w:t>
      </w:r>
    </w:p>
    <w:p>
      <w:r>
        <w:t>Gestützt auf das MEDAS-Gutachten vom 22. Februar 2013 und den in Zusammenhang mit der arbeitsmarktlichen medizinischen Abklärung erstellten Bericht des Dr. med. C.________, Facharzt für Innere Medizin, Regionaler Ärztlicher Dienst (RAD), vom 17. Dezember 2009 hat die Vorinstanz festgestellt, dem Versicherten sei ab April 2007 die angestammte Tätigkeit als Lastwagenfahrer nicht mehr, eine angepasste leichte bis mittelschwere Tätigkeit in wechselnder, vorwiegend sitzender Position vollschichtig bei einer Leistungsreduktion von 10 - 20 % und ab Erstellung des MEDAS-Gutachtens vom 22. Februar 2013 die bisherige wie auch eine angepasste Tätigkeit in einem Umfang von 70 - 80 % zumutbar. Zudem stünden diese ärztlichen Einschätzung mit den Beurteilungen des Dr. med. D.________, Leitender Arzt, Klinik für orthopädische Chirurgie und Traumatologie des Bewegungsapparates, Spital F._________, vom 4. März 2014 und 10. September 2013, des Dr. med. E.________, Leitender Arzt Innere Medizin/Pneumologie, Spital F._______, vom 11. Oktober 2013, des Dr. med. G.________, Facharzt für Psychiatrie und Psychotherapie, vom April 2011 und der Psychotherapeutin H.________, Klinik I.________ AG vom 30. Oktober 2013 in Einklang.</w:t>
      </w:r>
    </w:p>
    <w:p>
      <w:r>
        <w:rPr>
          <w:b/>
        </w:rPr>
        <w:t>E. 3.3.1</w:t>
      </w:r>
    </w:p>
    <w:p>
      <w:r>
        <w:t>Die Vorinstanz geht in E. 3.3.2 davon aus, gemäss MEDAS-Gutachten vom 22. Februar 2013 sei dem Versicherten zumutbar, "sowohl in der zuletzt ausgeübten Tätigkeit als Lastwagenfahrer wie auch in einer adaptierten Tätigkeit mit einer Einschränkung in der Arbeitsfähigkeit von 20 % - 30 % aufgrund der niedrigeren Belastbarkeit und den vermehrten Erholungspausen nachzugehen". Diese Feststellung ist aktenwidrig, hält das MEDAS-Gutachten doch in Punkt 7.1.1 zur Arbeitsfähigkeit in der bisherigen Tätigkeit im Rahmen der sich aus dem Gesundheitszustand ergebenden Einschränkungen u.a. fest, "kein Besteigen und Aussteigen aus einem Lastwagen". Auch wird nirgends im MEDAS-Gutachten explizit die bisherige Tätigkeit als Chauffeur für zumutbar erachtet.</w:t>
      </w:r>
    </w:p>
    <w:p>
      <w:r>
        <w:rPr>
          <w:b/>
        </w:rPr>
        <w:t>E. 3.3.2</w:t>
      </w:r>
    </w:p>
    <w:p>
      <w:r>
        <w:t>Das MEDAS-Gutachten vom 22. Februar 2013 lässt sich sodann nicht mit dem Bericht der kreisärztlichen Untersuchung vom 30. August 2011 vereinbaren. Dieser Bericht zeigt die seit Jahren bestehende Knieproblematik des Versicherten mit der Notwendigkeit mehrerer Operationen sowie der daraus resultierenden Einschränkungen auf und bildet Grundlage für die Berentung durch die SUVA. Den MEDAS-Gutachtern war dieser Bericht, wie sich aus der Erwähnung der Vorakten ergibt, bekannt. Obschon sich der SUVA-Kreisarzt einlässlich zur Arbeitsfähigkeit geäussert und mit nachvollziehbarer Begründung allein unter Berücksichtigung der Knieproblematik eine höhere Arbeitsunfähigkeit attestiert hat als die MEDAS-Gutachter unter Einbezug aller gesundheitlichen Einschränkungen, findet im MEDAS-Gutachten keine Auseinandersetzung mit der abweichenden Beurteilung des Kreisarztes statt. Mangels Begründung ist nicht nachvollziehbar, inwiefern unter zusätzlicher Berücksichtigung der psychischen Beschwerden sowie der Einschränkungen wegen der Schulter (die MEDAS stützt sich diesbezüglich alleine auf ein Arthro-MRI von 2008) und der übrigen geklagten Leiden eine geringere Arbeitsunfähigkeit resultieren sollte, als bei alleiniger Berücksichtigung der Kniebeschwerden anderthalb Jahre zuvor. Unter diesen Umständen kann das MEDAS-Gutachten vom 22. Februar 2013 nicht als vollständig und auch nicht als schlüssig bezeichnet werden. Es kann somit nicht Grundlage für die Ermittlung der zumutbaren Arbeitsfähigkeit und damit des massgebenden Invaliditätsgrades sein ( BGE 134 V 231 E. 5.1 S. 232; 125 V 351 E. 3a S. 352 mit Hinweis).</w:t>
      </w:r>
    </w:p>
    <w:p>
      <w:r>
        <w:rPr>
          <w:b/>
        </w:rPr>
        <w:t>E. 3.3.3</w:t>
      </w:r>
    </w:p>
    <w:p>
      <w:r>
        <w:t>Was die Beurteilung der zumutbaren Arbeitsfähigkeit durch Dr. med. C.________ betrifft, so kann der Anspruch auf eine Invalidenrente in der Zeit vor diesem Bericht vom 17. Dezember 2009 nicht gestützt auf dessen Einschätzung ermittelt werden, fehlt es doch an einer polydisziplinären Beurteilung der bereits damals bestehenden verschiedenen gesundheitlichen Einschränkungen des Versicherten.</w:t>
      </w:r>
    </w:p>
    <w:p>
      <w:r>
        <w:rPr>
          <w:b/>
        </w:rPr>
        <w:t>E. 3.3.4</w:t>
      </w:r>
    </w:p>
    <w:p>
      <w:r>
        <w:t>Nachdem weder der Bericht des Dr. med. C.________ vom 17. Dezember 2009 noch das MEDAS-Gutachten vom 22. Februar 2013 Grundlage zur Prüfung des Anspruchs auf eine Invalidenrente sein können, ist die Sache unter Aufhebung des kantonalen Entscheids an die Vorinstanz zurückzuweisen ( BGE 137 V 210 E. 4.4.1.4 S. 264), damit sie nach Einholung eines Gerichtsgutachtens neu über den Anspruch auf eine Invalidenrente entscheide. Anzufügen bleibt, dass der Einwand des Versicherten, der Vorinstanz sei Ermessensmissbrauch vorzuwerfen, weil sie es unterlassen habe, ihm trotz der ausgewiesenen physischen und psychischen Einschränkungen und der damit verbundenen Benachteiligung auf dem Arbeitsmarkt einen behinderungsbedingten Abzug zuzugestehen, insofern zutreffend ist, als die Vorinstanz zumindest kurz hätte begründen müssen, aus welchen Gründen sie von einem Abzug abgesehen hat. Ob und allenfalls in welcher Höhe ein behinderungsbedingter Abzug angebracht wäre, braucht jedoch vorliegend nicht entschieden zu werden, da die Vorinstanz den Invaliditätsgrad bereits aus anderen Gründen neu ermitteln muss.</w:t>
      </w:r>
    </w:p>
    <w:p>
      <w:r>
        <w:rPr>
          <w:b/>
        </w:rPr>
        <w:t>E. 4</w:t>
      </w:r>
    </w:p>
    <w:p>
      <w:r>
        <w:t>Die vorinstanzlich angeordnete Aufhebung der Verfügungen vom 21. Oktober 2013 über die Taggelder einerseits und über die Verrechnung andererseits (soweit sie den Zeitraum ab 3. Dezember 2012 betreffen) ist im Ergebnis richtig; allerdings sind die beanstandeten Verfügungen nicht bloss wegen des falschen zugrundegelegten Valideneinkommens nicht massgeblich. Da die den Verfügungen über Taggelder und Verrechnung zugrundeliegende zumutbare Arbeitsfähigkeit noch nicht abschliessend feststeht, kann jedoch noch nicht über die Höhe der Taggelder resp. einer allfälligen Verrechnung entschieden werden. Die Vorinstanz wird somit nach erneuter medizinischer Abklärung und Festsetzung des Invaliditätsgrades sämtliche Verfügungen über Taggelder und Verrechnung zu überprüfen haben.</w:t>
      </w:r>
    </w:p>
    <w:p>
      <w:r>
        <w:rPr>
          <w:b/>
        </w:rPr>
        <w:t>E. 5</w:t>
      </w:r>
    </w:p>
    <w:p>
      <w:r>
        <w:t>Die unterliegende IV-Stelle hat die Gerichtskosten zu tragen ( Art. 66 Abs. 1 BGG ). Der Versicherte hat Anspruch auf eine Parteientschädigung ( Art. 68 Abs. 1 und 2 BGG ). Bei diesem Verfahrensausgang ist sein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