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8C_40/2018 vom 30. Januar 2018</w:t>
      </w:r>
    </w:p>
    <w:p>
      <w:r>
        <w:t>Bundesgericht, 2018-01-30, DE</w:t>
      </w:r>
    </w:p>
    <w:p>
      <w:r>
        <w:rPr>
          <w:b/>
        </w:rPr>
        <w:t xml:space="preserve">Quelle: </w:t>
      </w:r>
      <w:r>
        <w:t>https://mcp.opencaselaw.ch/entscheid/bger_8C_40_2018</w:t>
      </w:r>
    </w:p>
    <w:p>
      <w:r>
        <w:t>FR: TF 8C_40/2018 du 30 janvier 2018</w:t>
      </w:r>
    </w:p>
    <w:p>
      <w:r>
        <w:t>IT: TF 8C_40/2018 del 30 gennaio 2018</w:t>
      </w:r>
    </w:p>
    <w:p>
      <w:pPr>
        <w:pStyle w:val="Heading2"/>
      </w:pPr>
      <w:r>
        <w:t>Volltext</w:t>
      </w:r>
    </w:p>
    <w:p>
      <w:r>
        <w:t>Bundesgericht</w:t>
      </w:r>
    </w:p>
    <w:p>
      <w:r>
        <w:t>Tribunal fédéral</w:t>
      </w:r>
    </w:p>
    <w:p>
      <w:r>
        <w:t>Tribunale federale</w:t>
      </w:r>
    </w:p>
    <w:p>
      <w:r>
        <w:t>Tribunal federal</w:t>
      </w:r>
    </w:p>
    <w:p>
      <w:r>
        <w:t>8C_40/2018</w:t>
      </w:r>
    </w:p>
    <w:p>
      <w:r>
        <w:t>Urteil vom 30. Januar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Arbeitslosenkasse des Kantons Zürich, Zürcherstrasse 8, 8400 Winterthur,</w:t>
      </w:r>
    </w:p>
    <w:p>
      <w:r>
        <w:t>Beschwerdegegnerin.</w:t>
      </w:r>
    </w:p>
    <w:p>
      <w:r>
        <w:t>Gegenstand</w:t>
      </w:r>
    </w:p>
    <w:p>
      <w:r>
        <w:t>Arbeitslosenversicherung (Prozessvoraussetzung),</w:t>
      </w:r>
    </w:p>
    <w:p>
      <w:r>
        <w:t>Beschwerde gegen den Entscheid des Sozialversicherungsgerichts des Kantons Zürich vom 20. November 2017 (AL.2016.00214).</w:t>
      </w:r>
    </w:p>
    <w:p>
      <w:r>
        <w:t>Nach Einsicht</w:t>
      </w:r>
    </w:p>
    <w:p>
      <w:r>
        <w:t>in die Beschwerde vom 12. Januar 2018 (Poststempel) gegen den Entscheid des Sozialversicherungsgerichts des Kantons Zürich vom 20. November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das kantonale Gericht die von der Arbeitslosenkasse gestützt auf Art. 30 Abs. 1 lit. a AVIG vorgenommene Einstellung in der Anspruchsberechtigung auf Arbeitslosentaggelder bestätigte,</w:t>
      </w:r>
    </w:p>
    <w:p>
      <w:r>
        <w:t>dass es dabei davon ausging, der Versicherte habe das Arbeitsverhältnis, in dessen Folge die Arbeitslosigkeit eintrat, von sich aus beendigt,</w:t>
      </w:r>
    </w:p>
    <w:p>
      <w:r>
        <w:t>dass es alsdann näher darlegte, weshalb dem Beschwerdeführer ein Verbleiben bei der Firma durchaus zuzumuten gewesen wäre,</w:t>
      </w:r>
    </w:p>
    <w:p>
      <w:r>
        <w:t>dass es sich dabei einlässlich mit den Parteivorbringen auseinandersetzte und auch die im Recht gelegenen Beweismittel würdigte,</w:t>
      </w:r>
    </w:p>
    <w:p>
      <w:r>
        <w:t>dass es insbesondere ausführte, weshalb allein das Vorliegen einer gesetzeswidrigen Praxis innerhalb des Betriebs mit dem Umgang von durch Krankheiten von Kindern von Angestellten bedingten Abwesenheiten genauso wenig wie Differenzen mit dem neuen Vorgesetzen etwa über Kompensationstage einen hinreichenden Grund darstellte, das Arbeitsverhältnis zu beendigen, ohne nicht bereits eine neue Anstellung gefunden zu haben,</w:t>
      </w:r>
    </w:p>
    <w:p>
      <w:r>
        <w:t>dass der Beschwerdeführer sich im Wesentlichen darauf beschränkt, die angeblichen Fehlverhalten der Firma aufzuzählen, ohne indessen zugleich aufzuzeigen, inwiefern die vorinstanzliche Auffassung, ein Verbleiben sei ihm trotz der geschilderten Schwierigkeiten im Betrieb (zumindest bis auf weiteres) durchaus zuzumuten gewesen, auf einer qualifiziert falschen, d.h. willkürlichen Sachverhaltsfeststellung im Sinne von Art. 97 Abs. 1 BGG beruhen oder die darauf aufbauenden rechtlichen Erwägungen oder der Entscheid selbst gegen Recht verstossen sollen,</w:t>
      </w:r>
    </w:p>
    <w:p>
      <w:r>
        <w:t>dass dieser Begründungsmangel offensichtlich ist,</w:t>
      </w:r>
    </w:p>
    <w:p>
      <w:r>
        <w:t>dass deshalb im vereinfachten Verfahren nach Art. 108 Abs. 1 lit. b BGG auf die Beschwerde nicht einzutreten ist,</w:t>
      </w:r>
    </w:p>
    <w:p>
      <w:r>
        <w:t>dass in Anwendung von Art. 66 Abs. 1 Satz 2 BGG aber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30. Januar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