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409/2020 vom 5. Oktober 2020</w:t>
      </w:r>
    </w:p>
    <w:p>
      <w:r>
        <w:t>Bundesgericht, 2020-10-05, DE</w:t>
      </w:r>
    </w:p>
    <w:p>
      <w:r>
        <w:rPr>
          <w:b/>
        </w:rPr>
        <w:t xml:space="preserve">Quelle: </w:t>
      </w:r>
      <w:r>
        <w:t>https://mcp.opencaselaw.ch/entscheid/bger_8C_409_2020</w:t>
      </w:r>
    </w:p>
    <w:p>
      <w:r>
        <w:t>FR: TF 8C 409/2020 du 5 octobre 2020</w:t>
      </w:r>
    </w:p>
    <w:p>
      <w:r>
        <w:t>IT: TF 8C 409/2020 del 5 ottobre 2020</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(vgl. BGE 129 I 8 E. 2.1 S. 9; Urteil 9C_101/2015 vom 30. November 2015 E. 1.1).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SVR 2018 IV Nr. 7 S. 23, 8C_157/2017 E. 1.2).</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Urteile 8C_676/2018 vom 20. Februar 2019 E. 1.2, 9C_128/2018 vom 17. Juli 2018 E. 1.2).</w:t>
      </w:r>
    </w:p>
    <w:p>
      <w:r>
        <w:rPr>
          <w:b/>
        </w:rPr>
        <w:t>E. 2</w:t>
      </w:r>
    </w:p>
    <w:p>
      <w:r>
        <w:t>Streitig ist, ob die Vorinstanz Bundesrecht verletzte, indem sie die am 15. Januar 2019 durch die Beschwerdegegnerin verfügte revisionsweise Aufhebung des Rentenanspruchs ab 1. März 2015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Ändert sich der Invaliditätsgrad einer Rentenbezügerin oder eines Rentenbezügers erheblich, so wird die Rente nach Art. 17 Abs. 1 ATSG von Amtes wegen oder auf Gesuch hin für die Zukunft entsprechend erhöht, herabgesetzt oder aufgehoben. Renten, die bei pathogenetisch-ätiologisch unklaren syndromalen Beschwerdebildern ohne nachweisbare organische Grundlage gesprochen wurden, werden gemäss lit. a Abs. 1 der Schlussbestimmungen der Änderung vom 18. März 2011 (6. IV-Revision, erstes Massnahmenpaket; in Kraft seit 1. Januar 2012)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3.2</w:t>
      </w:r>
    </w:p>
    <w:p>
      <w:r>
        <w:t>Im angefochtenen Entscheid sind die gesetzlichen Bestimmungen und die von der Rechtsprechung dazu entwickelten Grundsätze zutreffend dargelegt. Es betrifft dies namentlich die Beweiskraft medizinischer Unterlagen ( BGE 134 V 231 E. 5.1 S. 232; 125 V 351 E. 3.1 S. 352) und die Festsetzung der Arbeitsfähigkeit bei psychischen Leiden im Rahmen eines strukturierten Beweisverfahrens anhand der sogenannten Standardindikatoren ( BGE 143 V 409 und 418 sowie 141 V 281). Darauf wird verwiesen.</w:t>
      </w:r>
    </w:p>
    <w:p>
      <w:r>
        <w:rPr>
          <w:b/>
        </w:rPr>
        <w:t>E. 4.1</w:t>
      </w:r>
    </w:p>
    <w:p>
      <w:r>
        <w:t>Es ist letztinstanzlich zu Recht unbestritten, dass die Verwaltung im Rahmen einer Überprüfung gemäss lit. a Abs. 1 SchlB IVG 2011 auf ihre ursprüngliche Rentenzusprache zurückkommen und den Rentenanspruch für die Zukunft neu prüfen durfte. Die Vorinstanz hat in umfassender Würdigung der medizinischen Akten, insbesondere aber gestützt auf das Gutachten des Dr. med. B.________ vom 25. Juli 2017 mit Ergänzung vom 3. Januar 2018, für das Bundesgericht grundsätzlich verbindlich festgestellt, dass die Versicherte nunmehr in der angestammten, wie auch in jeder vergleichbaren Tätigkeit, vollumfänglich arbeitsfähig ist. Was die Beschwerdeführerin gegen diese Feststellung vorbringt, vermag sie - wie nachstehende Erwägungen zeigen - nicht als bundesrechtswidrig erscheinen zu lassen.</w:t>
      </w:r>
    </w:p>
    <w:p>
      <w:r>
        <w:rPr>
          <w:b/>
        </w:rPr>
        <w:t>E. 4.2</w:t>
      </w:r>
    </w:p>
    <w:p>
      <w:r>
        <w:t>Die Beschwerdeführerin bringt im Wesentlichen vor, das kantonale Gericht habe den Untersuchungsgrundsatz verletzt, indem es der Expertise des Dr. med. B.________ vom 25. Juli 2017 vollen Beweiswert zuerkannt und auf diese abgestellt habe.</w:t>
      </w:r>
    </w:p>
    <w:p>
      <w:r>
        <w:rPr>
          <w:b/>
        </w:rPr>
        <w:t>E. 4.2.1</w:t>
      </w:r>
    </w:p>
    <w:p>
      <w:r>
        <w:t>Soweit die Argumentation in der Beschwerdeschrift auf eine Überprüfung der vorinstanzlichen Beweiswürdigung hinausläuft, verkennt die Beschwerdeführerin, dass eine solche nur in beschränktem Rahmen zulässig ist (vgl. E. 1.2 hievor). Das kantonale Gericht hat in umfassender Würdigung der medizinischen Akten für das Bundesgericht verbindlich festgestellt, die Versicherte leide in psychischer Hinsicht einzig an einer anhaltenden Schmerzstörung, ohne dass diese deren Arbeitsfähigkeit in relevantem Masse beeinträchtigen würde. Was die Beschwerdeführerin dagegen vorbringt, beschränkt sich im Wesentlichen darauf, ihre eigene, von der Vorinstanz abweichende Beweiswürdigung und Darstellung der gesundheitlichen Verhältnisse darzulegen, was nicht genügt. Inwiefern die vorinstanzlichen Schlussfolgerungen offensichtlich unrichtig oder sonstwie bundesrechtswidrig sein sollen (vgl. E. 1.2 hievor), legt sie nicht dar. Wie bereits das kantonale Gericht ausführte geht es nicht an, das fachkompetente Gutachten eines medizinischen Experten durch die eigene Diagnostik der versicherten Person beziehungsweise deren Rechtsvertreterin in Frage zu stellen, wobei die subjektiv empfundenen Beschwerden und Klagen als uneingeschränkt vorhanden dargestellt und unter eine passende Diagnose subsumiert werden.</w:t>
      </w:r>
    </w:p>
    <w:p>
      <w:r>
        <w:rPr>
          <w:b/>
        </w:rPr>
        <w:t>E. 4.2.2</w:t>
      </w:r>
    </w:p>
    <w:p>
      <w:r>
        <w:t>Insoweit, als die Versicherte aus dem unbestrittenen Umstand, dass sie im Alter von 19 Jahren eine Vergewaltigung hatte erleiden müssen, auf das Vorhandensein einer posttraumatischen Belastungsstörung (PTBS) schliessen will, ist sie daran zu erinnern, dass das Erleben eines traumatischen Ereignisses alleine nicht ausreicht, um diese Diagnose zu erfüllen. Das kantonale Gericht hat in seinem Entscheid die entsprechenden Befunderhebungen und die darauf gestützte Auseinandersetzung mit den wissenschaftlichen Vorgaben zur Diagnosestellung sowie die daraus gezogenen Schlussfolgerungen des Dr. med. B.________ ausführlich dargestellt. Die vorinstanzliche Würdigung der gutachterlichen Äusserungen, weshalb die genannte Diagnose bei der Beschwerdeführerin nicht gestellt werden kann, ist ausführlich und berücksichtigt auch die medizinischen Zeugnisse und Berichte der die Versicherte behandelnden Ärztin und Psychologin. Die Beschwerdeführerin legt nicht dar, inwiefern die vorinstanzliche Beweiswürdigung und Erwägungen willkürlich sein sollten oder in anderer Weise Bundesrecht verletzten. Entsprechendes ist denn auch nicht ersichtlich.</w:t>
      </w:r>
    </w:p>
    <w:p>
      <w:r>
        <w:rPr>
          <w:b/>
        </w:rPr>
        <w:t>E. 4.3</w:t>
      </w:r>
    </w:p>
    <w:p>
      <w:r>
        <w:t>Die Beschwerdeführerin rügt eine Verletzung ihres rechtlichen Gehörs, weil im angefochtenen Entscheid ihren eigenen laienhaften medizinischen Schlussfolgerungen im Vergleich zu den fachärztlichen Ausführungen des Gutachters Dr. med. B.________ keine entscheidende Bedeutung zuerkannt worden ist. Die Versicherte legte indessen keine ärztlichen Stellungnahmen zum Administrativgutachten vor, welche diesem widersprechen oder welche dieses in Frage stellen würden. Die Vorinstanz hat alle medizinischen Akten eingehend gewürdigt und ihre daraus gezogenen Erkenntnisse nachvollziehbar begründet. Eine Gehörsverletzung ist nicht ersichtlich.</w:t>
      </w:r>
    </w:p>
    <w:p>
      <w:r>
        <w:rPr>
          <w:b/>
        </w:rPr>
        <w:t>E. 4.4</w:t>
      </w:r>
    </w:p>
    <w:p>
      <w:r>
        <w:t>Nach dem Gesagten sind die Feststellungen des kantonalen Gerichts zum Gesundheitszustand und zur Arbeitsfähigkeit - auch in Nachachtung dem Untersuchungsgrundsatz genügender Sachverhaltsabklärung - nicht zu beanstanden, weshalb die Beschwerde abzuweisen ist.</w:t>
      </w:r>
    </w:p>
    <w:p>
      <w:r>
        <w:rPr>
          <w:b/>
        </w:rPr>
        <w:t>E. 5.1</w:t>
      </w:r>
    </w:p>
    <w:p>
      <w:r>
        <w:t>Dem Ausgang des Verfahrens entsprechend sind die Gerichtskosten der unterliegenden Beschwerdeführerin aufzuerlegen ( Art. 66 Abs. 1 Satz 1 BGG ).</w:t>
      </w:r>
    </w:p>
    <w:p>
      <w:r>
        <w:rPr>
          <w:b/>
        </w:rPr>
        <w:t>E. 5.2</w:t>
      </w:r>
    </w:p>
    <w:p>
      <w:r>
        <w:t>Da die Beschwerde offensichtlich unbegründet ist ( Art. 109 Abs. 2 lit. a BGG ), ist sie als aussichtslos im Sinne von Art. 64 Abs. 1 BGG zu bezeichnen (vgl. Thomas Geiser, in: Basler Kommentar, Bundesgerichtsgesetz, 3. Aufl. 2018, N. 22 zu Art. 64 BGG ; Urteil 8C_772/2018 vom 19. März 2019 E. 8.2). Das Gesuch um unentgeltliche Rechtspflege ist demnach abzuweisen.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