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8C_407/2019 vom 13. August 2019</w:t>
      </w:r>
    </w:p>
    <w:p>
      <w:r>
        <w:t>Bundesgericht, 2019-08-13, DE</w:t>
      </w:r>
    </w:p>
    <w:p>
      <w:r>
        <w:rPr>
          <w:b/>
        </w:rPr>
        <w:t xml:space="preserve">Quelle: </w:t>
      </w:r>
      <w:r>
        <w:t>https://mcp.opencaselaw.ch/entscheid/bger_8C_407_2019</w:t>
      </w:r>
    </w:p>
    <w:p>
      <w:r>
        <w:t>FR: TF 8C_407/2019 du 13 août 2019</w:t>
      </w:r>
    </w:p>
    <w:p>
      <w:r>
        <w:t>IT: TF 8C_407/2019 del 13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(Urteil 8C_474/2018 vom 11. März 2019 E. 1, nicht publiziert in BGE 145 V 97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8C_876/2017 vom 15. Mai 2018 E. 3.2).</w:t>
      </w:r>
    </w:p>
    <w:p>
      <w:r>
        <w:rPr>
          <w:b/>
        </w:rPr>
        <w:t>E. 3</w:t>
      </w:r>
    </w:p>
    <w:p>
      <w:r>
        <w:t>Unbestritten ist, dass die IV-Stelle eine wesentliche Verschlechterung des Gesundheitszustands spätestens im Rahmen des Vorbescheidverfahrens als glaubhaft erachtete und auf die Anmeldung der Beschwerdeführerin vom 5. September 2015 eintrat. Unter den Parteien ist allerdings streitig, ob die Vorinstanz Bundesrecht verletzt hat, indem sie eine wesentliche Verschlechterung des Gesundheitszustands im Zeitraum zwischen der rentenaufhebenden Verfügung vom 26. Juni 2013 und der leistungsablehnenden Verfügung vom 12. Juni 2018 verneinte (zum revisionsrechtlich massgebenden Vergleichszeitraum vgl. BGE 133 V 108 E. 5.4 S. 114).</w:t>
      </w:r>
    </w:p>
    <w:p>
      <w:r>
        <w:rPr>
          <w:b/>
        </w:rPr>
        <w:t>E. 4.1</w:t>
      </w:r>
    </w:p>
    <w:p>
      <w:r>
        <w:t>Die Vorinstanz hat im Wesentlichen dem Gutachten der Fachstelle F.________ GmbH vom 24. Oktober 2017 volle Beweiskraft zuerkannt. Gestützt darauf stellte sie fest, dass aus somatischer wie auch aus psychiatrischer Sicht eine uneingeschränkte Arbeitsfähigkeit in sämtlichen Tätigkeiten bestehe, was beschwerdeweise bestritten wird.</w:t>
      </w:r>
    </w:p>
    <w:p>
      <w:r>
        <w:rPr>
          <w:b/>
        </w:rPr>
        <w:t>E. 4.2</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geht es bei der Beachtung des Untersuchungsgrundsatzes und der Beweiswürdigungsregeln um Rechtsfragen, die das Bundesgericht im Rahmen der den Parteien obliegenden Begründungs- bzw. Rügepflicht frei prüft (statt vieler: Urteil 9C_457/2014 vom 16. Juni 2015 E. 1.2, nicht publ. in: BGE 141 V 405 , aber in: SVR 2016 BVG Nr. 11 S. 47).</w:t>
      </w:r>
    </w:p>
    <w:p>
      <w:r>
        <w:rPr>
          <w:b/>
        </w:rPr>
        <w:t>E. 4.3</w:t>
      </w:r>
    </w:p>
    <w:p>
      <w:r>
        <w:t>In Bezug auf die Beweiswürdigung ist hervorzuheben, dass den Gutachten von externen Spezialärzten, welche von Versicherungsträgern im Verfahren gemäss Art. 44 ATSG eingeholt wurden und den Anforderungen der Rechtsprechung entsprechen, praxisgemäss voller Beweiswert zuzuerkennen ist, solange nicht konkrete Indizien gegen die Zuverlässigkeit der Expertise sprechen ( BGE 137 V 210 E. 2.2.2 S. 232, 135 V 465 E. 4.4 S. 470).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8C_182/2019 vom 19. Juni 2019 E. 2.2 mit Hinweis).</w:t>
      </w:r>
    </w:p>
    <w:p>
      <w:r>
        <w:rPr>
          <w:b/>
        </w:rPr>
        <w:t>E. 4.4</w:t>
      </w:r>
    </w:p>
    <w:p>
      <w:r>
        <w:t>Die beschwerdeweise vorgebrachten Rügen, die darauf abzielen dem Gutachten der Fachstelle F.________ GmbH Beweiskraft abzusprechen, überzeugen nicht. Insbesondere kann der Vorinstanz nicht vorgeworfen werden, dass sie sich nicht eingehend mit den Berichten des Dr. med. E.________ vom 20. Januar 2018, des Dr. med. G.________, ebenfalls Facharzt für Psychiatrie und Psychotherapie FMH, vom 2. Mai 2018 und der Klinik H.________ vom 19. November 2014 auseinandergesetzt habe. Die Vorinstanz würdigte die Beweise und legte ausführlich dar, dass die Berichte der behandelnden Ärzte bzw. der Bericht der Klinik H.________ keine im Rahmen der Begutachtung der Fachstelle F.________ GmbH ungewürdigten oder unerkannten Aspekte enthalten, die die Beweiskraft des Gutachtens zu erschüttern vermögen. Dass die Vorinstanz die Beweiswürdigungsregeln und somit Bundesrecht verletzt haben soll, macht die Beschwerdeführerin nicht geltend und ist im Übrigen auch nicht ersichtlich. Ebenso wenig wird in der Beschwerde dargetan (vgl. E. 1), dass die Beweise willkürlich, mithin in offensichtlich unrichtiger Weise gewürdigt worden wären.</w:t>
      </w:r>
    </w:p>
    <w:p>
      <w:r>
        <w:rPr>
          <w:b/>
        </w:rPr>
        <w:t>E. 4.5</w:t>
      </w:r>
    </w:p>
    <w:p>
      <w:r>
        <w:t>Auch mit den übrigen Einwänden vermag die Beschwerdeführerin nicht durchzudringen. Zwar ist richtig, dass die IV-Stelle der Beschwerdeführerin während knapp 13 Jahren eine ganz IV-Rente ausgerichtet hat. Soweit sie allerdings bemängelt, die Rente sei aus nicht nachvollziehbaren Gründen eingestellt worden, ist ihr zu entgegnen, dass die Aufhebung der Rente mit Entscheid des Versicherungsgerichts vom 14. Juli 2014 (VBE.2013.632) rechtskräftig bestätigt wurde und nicht Streitgegenstand des vorliegenden Verfahrens bildet (vgl. hiervor E. 3). Ferner beschränkt sie sich weitgehend darauf, die Verfügung vom 12. Juni 2018 in appellatorischer Weise als unrichtig zu bemängeln, ohne aufzuzeigen, inwiefern die vorinstanzlichen Sachverhaltsfeststellungen offensichtlich unrichtig oder bundesrechtswidrig sein sollen. Auf die diesbezüglichen Einwände ist daher nicht weiter einzugehen (vgl. zur Rügepflicht E. 1.2 hiervor).</w:t>
      </w:r>
    </w:p>
    <w:p>
      <w:r>
        <w:rPr>
          <w:b/>
        </w:rPr>
        <w:t>E. 4.6</w:t>
      </w:r>
    </w:p>
    <w:p>
      <w:r>
        <w:t>Schliesslich gelangte die Vorinstanz zum Ergebnis, dass die IV-Stelle ihrer Begründungspflicht mit Verfügung vom 12. Juni 2018 in rechtsgenüglicher Weise nachkam, weshalb keine Verletzung des rechtlichen Gehörs ( Art. 29 Abs. 2 BV ) vorliege. Die Beschwerdeführerin bringt dagegen nichts vor, was zu einer anderen Betrachtungsweise Anlass geben würde. Damit hat es beim vorinstanzlichen Entscheid sein Bewenden.</w:t>
      </w:r>
    </w:p>
    <w:p>
      <w:r>
        <w:rPr>
          <w:b/>
        </w:rPr>
        <w:t>E. 5</w:t>
      </w:r>
    </w:p>
    <w:p>
      <w:r>
        <w:t>Da die Beschwerde offensichtlich unbegründet ist, wird sie im Verfahren nach Art. 109 Abs. 2 lit. a BGG erledigt. 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