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8C_406/2024 vom 4. November 2024</w:t>
      </w:r>
    </w:p>
    <w:p>
      <w:r>
        <w:t>Bundesgericht, 2024-11-04, DE</w:t>
      </w:r>
    </w:p>
    <w:p>
      <w:r>
        <w:rPr>
          <w:b/>
        </w:rPr>
        <w:t xml:space="preserve">Quelle: </w:t>
      </w:r>
      <w:r>
        <w:t>https://mcp.opencaselaw.ch/entscheid/bger_8C_406_2024</w:t>
      </w:r>
    </w:p>
    <w:p>
      <w:r>
        <w:t>FR: TF 8C_406/2024 du 4 novembre 2024</w:t>
      </w:r>
    </w:p>
    <w:p>
      <w:r>
        <w:t>IT: TF 8C_406/2024 del 4 novembre 2024</w:t>
      </w:r>
    </w:p>
    <w:p>
      <w:pPr>
        <w:pStyle w:val="Heading2"/>
      </w:pPr>
      <w:r>
        <w:t>Erwägungen</w:t>
      </w:r>
    </w:p>
    <w:p>
      <w:r>
        <w:rPr>
          <w:b/>
        </w:rPr>
        <w:t>E. 1</w:t>
      </w:r>
    </w:p>
    <w:p>
      <w:r>
        <w:t>Der Prozess ruhte vom Todestag der A.A.________ am 2. August 2024 während drei Monaten ( Art. 6 Abs. 2 und 3 BZP in Verbindung mit Art. 71 BGG ; Verfügung vom 13. August 2024). Gemäss Erbenbescheinigung vom 17. Oktober 2024 haben d ie gesetzlichen Erben die Erbschaft vorbehaltslos angetreten. Dadurch sind sie für die Verstorbene in den Prozess eingetreten.</w:t>
      </w:r>
    </w:p>
    <w:p>
      <w:r>
        <w:rPr>
          <w:b/>
        </w:rPr>
        <w:t>E. 2</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3</w:t>
      </w:r>
    </w:p>
    <w:p>
      <w:r>
        <w:t>Das kantonale Gericht bestätigte mit Urteil vom 5. Juni 2024 den Einspracheentscheid der Beschwerdegegnerin vom 11. Juli 2023, worin der Verstorbenen die am 28. September 2021 beantragten Ergänzungsleistungen zur AHV verwehrt wurden. Dabei ging es von einem in den Jahren 2011 bis 2018 erfolgten freiwilligen Vermögensverzicht in der Höhe von insgesamt Fr. 1'068'375.- aus, welcher bei der Bedarfsermittlung zu berücksichtigen sei. Darüber, dass der Vermögensverzicht mindestens Fr. 641'375.- betrage, sei bereits mit Urteil 5V 22 42 vom 20. März 2023 abschliessend befunden worden. Die (weiteren) finanziellen Zuwendungen des D.A.________ sel. an dessen Nachkommen in der Höhe von Fr. 427'000.- stellten ebenfalls eine Verzichtshandlung im Sinne von Art. 11a Abs. 2 ELG dar. Damit sei die anspruchsausschliessende Vermögensschwelle gemäss Art. 9a Abs. 1 lit. a ELG für alleinstehende Personen für das Reinvermögen von Fr. 100'000.- in den fraglichen Jahren 2021 bis 2024 mit Fr. 978'375.- (2021), Fr. 968'375.- (2022), Fr. 958'375.- (2023) und Fr. 948'375.- (2024) jeweils deutlich überschritten gewesen.</w:t>
      </w:r>
    </w:p>
    <w:p>
      <w:r>
        <w:rPr>
          <w:b/>
        </w:rPr>
        <w:t>E. 4</w:t>
      </w:r>
    </w:p>
    <w:p>
      <w:r>
        <w:t>Darauf gehen die Beschwerdeführer nicht hinreichend ein. Insbesondere zeigen sie nicht auf, inwiefern die vorinstanzliche Auffassung, wonach über den Vermögensverzicht in der Höhe von Fr. 641'375.- bereits in einem früheren Verfahren rechtskräftig entschieden worden sei, rechtsfehlerhaft sein soll. Bereits die Berücksichtigung desselben führt fraglos zu einem Anspruchsausschluss in den Jahren 2021 bis 2024. Abgesehen davon wird nicht näher ausgeführt, inwiefern die von der Vorinstanz vorgenommene Würdigung der im Zusammenhang mit dem Erbgang des E.A.________ sel. stehenden Umstände willkürlich sein soll ( BGE 146 IV 88 E. 1.3.1 f.; 140 III 115 E. 2; je mit Hinweisen). Lediglich die eigene Sicht wiederzugeben, reicht vor Bundesgericht nicht aus.</w:t>
      </w:r>
    </w:p>
    <w:p>
      <w:r>
        <w:rPr>
          <w:b/>
        </w:rPr>
        <w:t>E. 5</w:t>
      </w:r>
    </w:p>
    <w:p>
      <w:r>
        <w:t>L iegt offensichtlich keine hinreichend sachbezogen begründete Beschwerde vor, so führt dies zu einem Nichteintreten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