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8C_405/2024 vom 4. September 2024</w:t>
      </w:r>
    </w:p>
    <w:p>
      <w:r>
        <w:t>Bundesgericht, 2024-09-04, DE</w:t>
      </w:r>
    </w:p>
    <w:p>
      <w:r>
        <w:rPr>
          <w:b/>
        </w:rPr>
        <w:t xml:space="preserve">Quelle: </w:t>
      </w:r>
      <w:r>
        <w:t>https://mcp.opencaselaw.ch/entscheid/bger_8C_405_2024</w:t>
      </w:r>
    </w:p>
    <w:p>
      <w:r>
        <w:t>FR: TF 8C_405/2024 du 4 septembre 2024</w:t>
      </w:r>
    </w:p>
    <w:p>
      <w:r>
        <w:t>IT: TF 8C_405/2024 del 4 settembre 2024</w:t>
      </w:r>
    </w:p>
    <w:p>
      <w:pPr>
        <w:pStyle w:val="Heading2"/>
      </w:pPr>
      <w:r>
        <w:t>Erwägungen</w:t>
      </w:r>
    </w:p>
    <w:p>
      <w:r>
        <w:rPr>
          <w:b/>
        </w:rPr>
        <w:t>E. 1</w:t>
      </w:r>
    </w:p>
    <w:p>
      <w:r>
        <w:t>Das kantonale Gericht bestätigte mit Urteil vom 13. Juni 2024 die auf kantonalem Recht beruhende Verfügung der Beschwerdegegnerin vom 6. Februar 2022, worin die Beschwerdeführerin zur Rückerstattung der im Zeitraum vom 1. März 2022 bis 14. Dezember 2022 bezogenen Sozialhilfe in der Höhe vom Fr. 18'734.70 verpflichtet wurde mit der Möglichkeit der Tilgung in monatlichen Raten von mindestens Fr. 150.-.</w:t>
      </w:r>
    </w:p>
    <w:p>
      <w:r>
        <w:rPr>
          <w:b/>
        </w:rPr>
        <w:t>E. 2</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 wie vorliegend (vgl. BGE 148 V 114 E. 3.1) -,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3</w:t>
      </w:r>
    </w:p>
    <w:p>
      <w:r>
        <w:t>Die Beschwerdeführerin bringt nichts Derartiges vor. Soweit sie das Vorliegen eines Härtefalls im Sinne von Art. 43 SHG/BE behauptet, geht sie auf das von der Vorinstanz dazu Erwogene mit keinem Wort ein, wonach gemäss Abs. 3 dieser Bestimmung das Vorliegen eines Härtefalls lediglich auf Antrag hin geprüft werde; ein solches Gesuch sei weder explizit noch implizit gestellt worden, weshalb sich die Überprüfung eines Rückforderungsverzichts erübrige. Soweit sie das bisher Versäumte letztinstanzlich nachzuholen versucht, so erweist sich dies als verspätet. Art. 99 Abs. 2 BGG schliesst neue Begehren vor Bundesgericht aus.</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