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8C_404/2021 vom 22. März 2022</w:t>
      </w:r>
    </w:p>
    <w:p>
      <w:r>
        <w:t>Bundesgericht, 2022-03-22, DE</w:t>
      </w:r>
    </w:p>
    <w:p>
      <w:r>
        <w:rPr>
          <w:b/>
        </w:rPr>
        <w:t xml:space="preserve">Quelle: </w:t>
      </w:r>
      <w:r>
        <w:t>https://mcp.opencaselaw.ch/entscheid/bger_8C_404_2021</w:t>
      </w:r>
    </w:p>
    <w:p>
      <w:r>
        <w:t>FR: TF 8C_404/2021 du 22 mars 2022</w:t>
      </w:r>
    </w:p>
    <w:p>
      <w:r>
        <w:t>IT: TF 8C_404/2021 del 22 marzo 2022</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w:t>
      </w:r>
    </w:p>
    <w:p>
      <w:r>
        <w:t>Streitig und zu prüfen ist, ob die Vorinstanz Bundesrecht verletzte, indem sie die von der IV-Stelle am 1. Juli 2020 verfügte Abweisung des Leistungsbegehrens bestätigte.</w:t>
      </w:r>
    </w:p>
    <w:p>
      <w:r>
        <w:rPr>
          <w:b/>
        </w:rPr>
        <w:t>E. 3.1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w:t>
      </w:r>
    </w:p>
    <w:p>
      <w:r>
        <w:t>Das kantonale Gericht hat die massgeblichen Rechtsgrundlagen zur Erwerbsunfähigkeit ( Art. 7 ATSG ) und zur Invalidität ( Art. 8 Abs. 1 ATSG , Art. 4 Abs. 1 IVG ), vor allem bei psychischen Leiden ( BGE 143 V 409 E. 4.2.1; 143 V 418 ; 141 V 281 ), zutreffend dargelegt. Gleiches gilt hinsichtlich der für die Beurteilung des Beweiswerts eines ärztlichen Berichts oder Gutachtens zu berücksichtigenden Grundsätze ( BGE 143 V 124 E. 2.2.2; 134 V 231 E. 5.1; 125 V 351 E. 3a). Darauf wird verwiesen.</w:t>
      </w:r>
    </w:p>
    <w:p>
      <w:r>
        <w:t>Ergänzend ist darauf hinzuweisen, dass die bei einer Rentenrevision relevanten Grundsätze im Rahmen einer Neuanmeldung analog zur Anwendung gelangen ( Art. 17 Abs. 1 ATSG , Art. 87 Abs. 2 und 3 IVV ; vgl. BGE 144 I 103 E. 2.1; 141 V 9 E. 2.3).</w:t>
      </w:r>
    </w:p>
    <w:p>
      <w:r>
        <w:rPr>
          <w:b/>
        </w:rPr>
        <w:t>E. 3.3</w:t>
      </w:r>
    </w:p>
    <w:p>
      <w:r>
        <w:t>Nach Art. 43 Abs. 1 ATSG prüft der Versicherungsträger die Begehren, nimmt die notwendigen Abklärungen von Amtes wegen vor und holt die erforderlichen Auskünfte ein. Mündlich erteilte Auskünfte sind schriftlich festzuhalten. Soweit ärztliche oder fachliche Untersuchungen für die Beurteilung notwendig und zumutbar sind, hat sich die versicherte Person diesen gemäss Art. 43 Abs. 2 ATSG zu unterziehen. Kommen die versicherte Person oder andere Personen, die Leistungen beanspruchen, den Auskunfts- oder Mitwirkungspflichten in unentschuldbarer Weise nicht nach, so kann der Versicherungsträger in Anwendung von Art. 43 Abs. 3 ATSG auf Grund der Akten verfügen oder die Erhebungen einstellen und Nichteintreten beschliessen. Er muss diese Personen vorher schriftlich mahnen und auf die Rechtsfolgen hinweisen; ihnen ist eine angemessene Bedenkzeit einzuräumen.</w:t>
      </w:r>
    </w:p>
    <w:p>
      <w:r>
        <w:rPr>
          <w:b/>
        </w:rPr>
        <w:t>E. 4</w:t>
      </w:r>
    </w:p>
    <w:p>
      <w:r>
        <w:t>Das kantonale Gericht stellte nach eingehender Würdigung der medizinischen Aktenlage fest, das polydisziplinäre BEGAZ-Gutachten vom 27. Februar 2020 erfülle grundsätzlich die rechtsprechungsgemässen Anforderungen an den Beweiswert einer medizinischen Expertise. Der psychiatrische Experte Dr. med. D.________ habe akzentuierte narzisstisch-histrionische Persönlichkeitszüge, eine rezidivierende depressive Störung, gegenwärtig leichte depressive Episode, einen Status nach posttraumatischer Belastungsstörung, gegenwärtig deutlich gebessert, und eine nicht näher bezeichnete Angststörung festgestellt. Als Diagnosen ohne Auswirkung auf die Arbeitsfähigkeit seien im Gutachten unter anderem die somatischen Folgen des im August 2013 erlittenen Unfalls, ein Status nach einer Kniedistorsion rechts im Juli 2012 und stressabhängig einzelne leichte und passagere exekutive Funktionsstörungen angeführt. Dr. med. D.________ attestiere sowohl in einer angepassten als auch in der zuletzt ausgeübten Tätigkeit als Kinesiologin eine 50%ige Arbeitsfähigkeit. Aus orthopädischer Sicht habe ein halbes Jahr nach der Operation im August 2013 eine 50%ige und ein Jahr danach eine 100%ige Arbeitsfähigkeit bestanden. Anhand des BEGAZ-Gutachtens lasse sich allerdings nicht nachweisen, dass sich der psychische Gesundheitszustand im Vergleich zu 2016 oder seit 2019 wesentlich verschlechtert hätte. Es sei vielmehr von einer unterschiedlichen Beurteilung desselben Sachverhalts durch Dr. med. D.________ und Dr. med. B.________ (Expertise vom 3. Juli 2014) auszugehen. Verglichen mit den Verhältnissen im November 2016 liege demgemäss ein unveränderter medizinischer Sachverhalt vor und es sei nicht zu beanstanden, dass die Beschwerdegegnerin einen Rentenanspruch verneint habe.</w:t>
      </w:r>
    </w:p>
    <w:p>
      <w:r>
        <w:rPr>
          <w:b/>
        </w:rPr>
        <w:t>E. 5.1</w:t>
      </w:r>
    </w:p>
    <w:p>
      <w:r>
        <w:t>Die Beschwerdeführerin lässt einwenden, die Revisionsregeln nach Art. 17 ATSG seien hier nicht, auch nicht analog, anwendbar. Im Zeitpunkt der Verfügung vom 14. November 2016 seien der Gesundheitszustand und die Arbeitsfähigkeit nicht bestimmbar gewesen, denn die damaligen medizinischen Berichte hätten keine abschliessende Beurteilung der Arbeitsfähigkeit ermöglicht. Deshalb habe das kantonale Gericht mit Urteil vom 25. September 2015 die Notwendigkeit einer psychiatrischen Abklärung bestätigt. Die Verfügung vom 14. November 2016 habe das Verfahren nur vorläufig abgeschlossen und durch die Neuanmeldung sowie den Wegfall des Hinderungsgrundes für Abklärungen habe das Abklärungsverfahren fortgesetzt werden müssen. Es handle sich immer noch um die erstmalige Rentenabklärung. Die Verletzung der Mitwirkungspflicht führe (nur) dazu, dass der Rentenanspruch frühestens ab Neuanmeldung entstehen könne. Indem die Vorinstanz (mit hier angefochtenem Urteil vom 17. März 2021) einen Rentenanspruch davon abhängig mache, dass sich der Gesundheitszustand seit der Verfügung vom 14. November 2016 im Sinne von Art. 17 ATSG wesentlich verschlechtert habe, verletze sie Bundesrecht.</w:t>
      </w:r>
    </w:p>
    <w:p>
      <w:r>
        <w:rPr>
          <w:b/>
        </w:rPr>
        <w:t>E. 5.2.1</w:t>
      </w:r>
    </w:p>
    <w:p>
      <w:r>
        <w:t>Es ist der Beschwerdeführerin im Grundsatz insoweit beizupflichten, als bei einer Neuanmeldung keine Änderung in den tatsächlichen Verhältnissen nachgewiesen werden muss, wenn ein Leistungsanspruch infolge Widersetzlichkeit gegen zumutbare Abklärungen abgelehnt worden ist. Dies gilt aber nur, sofern der Leistungsanspruch keiner materiellen Prüfung unterzogen wurde. Es genügt diesfalls, dass die versicherte Person ihren Widerstand aufgibt und mit der Verwaltung kooperiert. Die in Art. 87 Abs. 2 und 3 IVV statuierte analoge Anwendung der für die Rentenrevision geltenden Regeln entfällt (Urteil [des Eidg. Versicherungsgerichts] I 600/99 vom 6. Juli 2000 E. 1; MEYER/REICHMUTH, Rechtsprechung des Bundesgerichts zum Sozialversicherungsrecht, Bundesgesetz über die Invalidenversicherung [IVG], 3. Aufl. 2014, Rz. 126 zu Art. 30-31 IVG ). Eine nach Erlass einer auf Art. 43 Abs. 3 ATSG (vgl. E. 3.3 hiervor) gestützten Verfügung erklärte Mitwirkungsbereitschaft macht die Widersetzlichkeit nicht ungeschehen (vgl. Urteile 8C_733/2010 vom 10. Dezember 2010 E. 5.6 und 9C_994/2009 vom 22. März 2010 E. 5.1). In einem solchen Fall ist im Rahmen der Neuanmeldung für die Zukunft zu prüfen, ob auf die bisherige Leistungsablehnung zurückzukommen ist (SVR 2017 IV Nr. 50 S. 150, 9C_244/2016 E. 3.3 mit Hinweisen; Urteile 9C_236/2021 vom 3. September 2021 und 8C_494/2019 vom 10. Dezember 2019 E. 4.1; UELI KIESER, ATSG-Kommentar, 4. Aufl. 2020, N. 114 u. 116 zu Art. 43 ATSG ; JACQUES OLIVIER PIGUET, in: Commentaire romand, Loi sur la partie générale des assurances sociales, 2018, N. 56 zu Art. 43 ATSG ).</w:t>
      </w:r>
    </w:p>
    <w:p>
      <w:r>
        <w:rPr>
          <w:b/>
        </w:rPr>
        <w:t>E. 5.2.2</w:t>
      </w:r>
    </w:p>
    <w:p>
      <w:r>
        <w:t>Im vorliegenden Fall hatte die IV-Stelle mit ihrer Verfügung vom 14. November 2016 allerdings einen materiellen Entscheid getroffen, weshalb diese Rechtsprechung keine Anwendung finden kann. Grundlage des Verwaltungsaktes bildete die damalige Aktenlage, die nach dem kantonalgerichtlichen Rückweisungsurteil vom 25. September 2015 durch die Kurzberichte der behandelnden Ärzte Dr. med. E.________, Allgemeine Innere Medizin FMH, vom 27. November 2015 und Dr. med. C.________, Psychiatrie und Psychotherapie FMH, vom 23. Dezember 2015 sowie das ärztliche Zeugnis des Internisten vom 6. September 2016 ergänzt worden war. Dies ergibt sich aus der Verfügung selber sowie aus dem vorgängigen Protokolleintrag der IV-Stelle vom 20. September 2016, wonach "aufgrund der Unterlagen" entschieden werde, falls die Beschwerdeführerin an der gutachtlichen Untersuchung nicht teilnehmen werde. Allenfalls bildete auch das Gutachten des Dr. med. B.________ vom 3. Juli 2014 Basis der leistungsablehnenden Verfügung vom 14. November 2016, wie das kantonale Gericht insoweit willkürfrei annimmt. Ob der unangefochten in Rechtskraft erwachsene Verwaltungsakt vom 14. November 2016 korrekt ist, nachdem dieses Gutachten im Rückweisungsurteil vom 25. September 2015 noch als nicht beweiskräftig eingestuft worden war, ist nicht Gegenstand des vorliegenden Prozesses und muss daher dahingestellt bleiben (vgl. im Übrigen Urteil 9C_152/2021 vom 25. August 2021 E. 5.1.2). Folglich beschäftigte sich die Vorinstanz im hier zu prüfenden Urteil vom 17. März 2021 zu Recht in analoger Anwendung der Grundsätze zur Rentenrevison (vgl. E. 3.2 hiervor) mit der Frage, ob seit der Verfügung vom 14. November 2016 eine relevante Veränderung des Gesundheitszustandes eingetreten war. Eine Bundesrechtsverletzung lässt sich in diesem Vorgehen entgegen der Ansicht der Beschwerdeführerin nicht erblicken.</w:t>
      </w:r>
    </w:p>
    <w:p>
      <w:r>
        <w:rPr>
          <w:b/>
        </w:rPr>
        <w:t>E. 6.1</w:t>
      </w:r>
    </w:p>
    <w:p>
      <w:r>
        <w:t>Eventualiter macht die Beschwerdeführerin geltend, der Gesundheitszustand habe sich seit November 2016 im Sinne von Art. 17 ATSG wesentlich verändert, weshalb ein Revisionsgrund bestehe. Denn im BEGAZ-Gutachten werde eine Verschlechterung des psychischen Gesundheitszustandes seit dem Jahr 2019 ausdrücklich bestätigt und erst ab diesem Zeitpunkt eine 50%ige Arbeitsunfähigkeit attestiert. Die Vorinstanz sei willkürlich von den Feststellungen der Expertise abgewichen, indem sie die darin ausgewiesene Arbeitsunfähigkeit von 50 % nicht berücksichtigt habe.</w:t>
      </w:r>
    </w:p>
    <w:p>
      <w:r>
        <w:rPr>
          <w:b/>
        </w:rPr>
        <w:t>E. 6.2</w:t>
      </w:r>
    </w:p>
    <w:p>
      <w:r>
        <w:t>Zunächst wird das Willkürverbot durch die Tatsache nicht verletzt, dass das kantonale Gericht als Ausgangspunkt der gesundheitlichen Entwicklung seit November 2016 die Expertise des Dr. med. B.________ beizog. Es lässt sich nämlich nicht von der Hand weisen, dass sich die IV-Stelle nach der Mitwirkungsverweigerung der Beschwerdeführerin bei Erlass der Verfügung vom 14. November 2016 - ob zu Recht oder zu Unrecht bleibt offen (vgl. E. 5.2.2 hiervor) - ebenfalls darauf abgestützt hatte. Die von Dr. med. D.________ im psychiatrischen BEGAZ-Teilgutachten angenommene Verschlechterung des psychischen Gesundheitszustandes ordnet er "zirka" dem Jahr 2019 zu und begründet sie mit einer massiven psychischen Reaktion und Erschöpfungssymptomatik wegen einer finanziellen Enge nach Leistungsablehnung durch Unfallversicherung und Pensionskasse. Soweit das kantonale Gericht daraus ableitet, die Verschlechterung werde nicht durch nachvollziehbar beschriebene veränderte psychiatrische Befunde belegt, die sich in entsprechend relevant veränderten Diagnosen niederschlagen würden, kann darin ebenfalls keine Willkür gesehen werden (vgl. E. 1.2 f. hiervor). Wie im angefochtenen Urteil dargelegt, entspricht der von Dr. med. D.________ festgestellte Status nach posttraumatischer Belastungsstörung, gegenwärtig deutlich gebessert, im Wesentlichen der von Dr. med. B.________ festgestellten Remission einer grundsätzlich möglichen posttraumatischen Belastungsstörung. Dr. med. D.________ ist sodann auf seinen Befund einer "nicht näher bezeichneten Angststörung" in der Tat nicht weiter eingegangen und bezüglich der diagnostizierten akzentuierten narzisstisch-histrionischen Persönlichkeitszüge ist zu beachten, dass sie als Z-Kodierung nicht unter den Begriff der invalidenversicherungsrechtlich erheblichen Gesundheitsbeeinträchtigung fällt, worauf die Vorinstanz ebenfalls bereits hinwies (Urteil 8C_699/2018 vom 28. August 2019 E. 4.2.2 mit weiteren Hinweisen). Nachdem Dr. med. B.________ "nur" eine Dysthymie als Verdachtsdiagnose festgestellt hatte, bleibt lediglich die rezidivierende depressive Störung, gegenwärtig leichte depressive Episode, verbunden mit der attestierten 50%igen Einschränkung der Arbeitsfähigkeit, als Hinweis auf eine mögliche Verschlechterung des Gesundheitszustandes übrig. In diesem Zusammenhang ist zu berücksichtigen, dass sich eine leicht- bis mittelgradige depressive Störung ohne nennenswerte Interferenzen durch psychiatrische Komorbiditäten im Allgemeinen nicht als schwere psychische Krankheit definieren lässt (Urteil 8C_280/2021 vom 17. November 2021 E. 6.2.2, zur Publikation vorgesehen). Damit kommt insgesamt eine Verschlechterung hinsichtlich des psychischen Gesundheitszustandes zwar in Betracht, der Schluss der Vorinstanz auf einen seit November 2016 (im Wesentlichen) unveränderten medizinischen Sachverhalt ist jedoch nicht eindeutig und augenfällig unzutreffend (vgl. E. 1.2 hiervor). Bei dieser Sachlage erübrigen sich Weiterungen zur Rüge der Beschwerdeführerin, das kantonale Gericht habe die gutachterlich ausgewiesene 50%ige Arbeitsunfähigkeit nicht berücksichtigt. Bei einer nicht relevant veränderten Sachlage durfte ein Rentenanspruch mit Blick auf die analog anwendbaren Revisionsregeln (E. 3.2 am Ende) ohne zusätzliche Abklärungen verneint werden.</w:t>
      </w:r>
    </w:p>
    <w:p>
      <w:r>
        <w:rPr>
          <w:b/>
        </w:rPr>
        <w:t>E. 7</w:t>
      </w:r>
    </w:p>
    <w:p>
      <w:r>
        <w:t>Zusammenfassend hält das angefochtene Urteil vor Bundesrecht stand. Die Beschwerde ist abzuweisen.</w:t>
      </w:r>
    </w:p>
    <w:p>
      <w:r>
        <w:rPr>
          <w:b/>
        </w:rPr>
        <w:t>E. 8</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