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8C_404/2015 vom 22. Dezember 2015</w:t>
      </w:r>
    </w:p>
    <w:p>
      <w:r>
        <w:t>Bundesgericht, 2015-12-22, DE</w:t>
      </w:r>
    </w:p>
    <w:p>
      <w:r>
        <w:rPr>
          <w:b/>
        </w:rPr>
        <w:t xml:space="preserve">Quelle: </w:t>
      </w:r>
      <w:r>
        <w:t>https://mcp.opencaselaw.ch/entscheid/bger_8C_404_2015</w:t>
      </w:r>
    </w:p>
    <w:p>
      <w:r>
        <w:t>FR: TF 8C_404/2015 du 22 décembre 2015</w:t>
      </w:r>
    </w:p>
    <w:p>
      <w:r>
        <w:t>IT: TF 8C_404/2015 del 22 dicembre 2015</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ist, ob der von der Tochter des Beschwerdegegners absolvierte Kurs den Anforderungen an eine faktische Ausbildung genügt und der Beschwerdegegner demnach Anspruch auf eine Ausbildungszulage ab August 2011 für seine Tochter hat.</w:t>
      </w:r>
    </w:p>
    <w:p>
      <w:r>
        <w:rPr>
          <w:b/>
        </w:rPr>
        <w:t>E. 3.1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der Verordnung vom 31. Oktober 2007 über die Familienzulagen (Familienzulagenverordnung, FamZV; SR 836.21) statuiert, dass ein Anspruch auf eine Ausbildungszulage für jene Kinder besteht, die eine Ausbildung im Sinne des Art. 25 Abs. 5 AVHG absolvieren. Art. 25 Abs. 5 Satz 2 AHVG beauftragt den Bundesrat, den Begriff der Ausbildung zu regeln, was dieser mit den auf den 1. Januar 2011 in Kraft getretenen Art. 49bis und 49ter der AHVV (SR 831.101) getan hat. Das Bundesgericht hat in BGE 138 V 286 E. 4.2.2 S. 289 festgehalten, dass bezüglich des Begriffs der Ausbildung auf die Gerichts- und Verwaltungspraxis sowie namentlich die Weisungen des BSV verwiesen werden kann ( BGE 141 V 473 E. 3 S. 474).</w:t>
      </w:r>
    </w:p>
    <w:p>
      <w:r>
        <w:rPr>
          <w:b/>
        </w:rPr>
        <w:t>E. 3.2</w:t>
      </w:r>
    </w:p>
    <w:p>
      <w:r>
        <w:t>Art. 49bis Abs. 1 AHVV besagt:</w:t>
      </w:r>
    </w:p>
    <w:p>
      <w:r>
        <w:t>"In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w:t>
      </w:r>
    </w:p>
    <w:p>
      <w:r>
        <w:t>Das BSV hat in den Weisungen dazu festgehalten, eine Ausbildung müsse mindestens 4 Wochen dauern und systematisch auf ein Ziel ausgerichtet sein; das angestrebte Bildungsziel führe entweder zu einem bestimmten Berufsabschluss oder ermögliche eine berufliche Tätigkeit ohne Berufsabschluss oder müsse eine allgemeine Grundlage für eine Mehrzahl von Berufen bilden bzw. eine Allgemeinausbildung beinhalten; die Ausbildung müsse auf einem strukturierten Bildungsgang beruhen, welcher rechtlich oder zumindest faktisch anerkannt sei, wobei es keine Rolle spiele, ob es eine erstmalige, eine Zusatz- oder Zweitausbildung sei (Wegleitung des BSV über die Renten [RWL] in der Eidgenössischen Alters-, Hinterlassenen- und Invalidenversicherung Rz. 3358).</w:t>
      </w:r>
    </w:p>
    <w:p>
      <w:r>
        <w:rPr>
          <w:b/>
        </w:rPr>
        <w:t>E. 4.1</w:t>
      </w:r>
    </w:p>
    <w:p>
      <w:r>
        <w:t>Vorliegend ist unbestritten, dass es sich beim absolvierten Kurs nicht um eine rechtlich anerkannte Ausbildung handelt. Ebenfalls unstrittig ist die Erfüllung der zeitlichen Anforderung an eine Ausbildung (20 Stunden pro Woche). Hingegen sind sich die Parteien uneins, ob dieser Lehrgang im Übrigen den Anforderungen an eine faktische Ausbildung genügt.</w:t>
      </w:r>
    </w:p>
    <w:p>
      <w:r>
        <w:rPr>
          <w:b/>
        </w:rPr>
        <w:t>E. 4.2</w:t>
      </w:r>
    </w:p>
    <w:p>
      <w:r>
        <w:t>Gemäss Darstellung im vorinstanzlichen Entscheid umfasst der Lehrgang vier Studiengänge: Das Grundstudium, welches 44 Wochenstunden beinhalte, danach zwei Jahre Hauptstudium mit je 40 Wochenstunden und abschliessend ein Jahr Vertiefungskurse. In allen Teilen liege der Schwerpunkt auf dem Erlernen der arabischen Sprache (im ersten Jahr 16 Wochenstunden, im zweiten und dritten Jahr kombiniert mit arabischer Rhetorik 14 resp. 11 Wochenstunden). Daneben beinhalte das Studium die Fächer islamische Rechtslehre, Geschichte des Islams sowie weitere Nebenbereiche wie Kalligraphie und Einführung in die Predigt. Im abschliessenden Jahr werde eine berufsorientierte praktische Ausbildung an der Seite eines islamischen Gelehrten in einer Moscheegemeinde absolviert. Mit dem verliehenen Diplom als "islamische Theologin" sei es der Tochter nach Aussagen des islamischen Zentrums B.________ möglich, in ihrer oder einer ähnlichen Organisation als Theologin resp. Predigerin zu arbeiten; allerdings sei bis dato keine Anstellung erfolgt. Im Übrigen verweist der vorinstanzliche Entscheid auf die vom islamischen Zentrum B.________ aufgelegten Stundenpläne.</w:t>
      </w:r>
    </w:p>
    <w:p>
      <w:r>
        <w:t>Gestützt auf diese Angaben hat die Vorinstanz entschieden, es handle sich beim absolvierten Lehrgang um eine faktisch anerkannte Ausbildung im Sinne von Art. 49bis Abs. 1 AHVV .</w:t>
      </w:r>
    </w:p>
    <w:p>
      <w:r>
        <w:rPr>
          <w:b/>
        </w:rPr>
        <w:t>E. 4.3.1</w:t>
      </w:r>
    </w:p>
    <w:p>
      <w:r>
        <w:t>Reglementierte und damit rechtlich anerkannte Bildungsgänge müssen hohe Anforderungen bezüglich des Umfangs der Informationen über Lerninhalte, Lernkontrollen (Qualifikationsverfahren) sowie Ziele und Anforderungen in beruflicher und schulischer Hinsicht erfüllen (vgl. zum notwendigen Inhalt einer Bildungsverordnung für rechtlich anerkannte Ausbildungsgänge Art. 19 des Bundesgesetzes vom 13. Dezember 2002 über die Berufsbildung [Berufsbildungsgesetz, BBG; SR 412.10] ; vgl. auch Michael Buchser, Berufsbildungsabschlüsse in der Schweiz, 2009). Soll nun ein nicht reglementierter Bildungsgang einem rechtlich anerkannten gleichgestellt werden, so rechtfertigen sich auch hier hohe Anforderungen an Informationsdichte, Überprüfbarkeit der Angaben und Einhaltung von Qualitätsstandards.</w:t>
      </w:r>
    </w:p>
    <w:p>
      <w:r>
        <w:rPr>
          <w:b/>
        </w:rPr>
        <w:t>E. 4.3.2</w:t>
      </w:r>
    </w:p>
    <w:p>
      <w:r>
        <w:t>Beim Anbieter, islamisches Zentrum B.________, handelt es sich nicht um eine anerkannte Ausbildungsstätte. Auch ist das islamische Zentrum B.________ weder dem Verband Privatschulen noch einem anderen Verband angeschlossen, was auf die Einhaltung von Minimalstandards resp. objektive Qualitätsstandards sowie eine gewisse Überprüfbarkeit des Lehrangebots schliessen liesse. Insbesondere aber sind die Angaben zum Inhalt des Lehrgangs spärlich und nicht überprüfbar. So fehlen Angaben zu den Lernzielen resp. den vorgesehenen Lernkontrollen (Prüfungen samt des Prüfungsinhalts, Verfassen von Arbeiten o.Ä.) in den einzelnen Fächern sowie den verantwortlichen Lehrpersonen (Namen und ausgewiesene Qualifikationen der Ausbildner). Auch liegen keinerlei Absprachen seitens des Ausbildungsanbieters mit offiziellen Stellen vor. Demnach fehlt es der strittigen Ausbildung an Transparenz und damit an deren Überprüfbarkeit. Zusätzlich mangelt es an der konkreten Nennung der nach Ausbildungsabschluss tatsächlich zur Verfügung stehenden Auswahl von Betätigungen, abgesehen von einer Anstellung in der Ausbildungsstätte selbst oder vergleichbaren Institutionen. Es kann somit nicht gesagt werden, die Ausbildung vermittle die Möglichkeit, danach einem breiten Spektrum von Berufen nachgehen zu können. Im Rahmen einer Gesamtsicht kann der von der Tochter des Beschwerdegegners absolvierte Lehrgang nicht als faktische Ausbildung im Sinne von Art. 49bis Abs. 1 AHVV anerkannt werden.</w:t>
      </w:r>
    </w:p>
    <w:p>
      <w:r>
        <w:rPr>
          <w:b/>
        </w:rPr>
        <w:t>E. 4.3.3</w:t>
      </w:r>
    </w:p>
    <w:p>
      <w:r>
        <w:t>Damit ist nicht gesagt, dass eine Ausbildung in islamischer Theologie schlechthin nicht anerkannt werden könnte (vgl. dazu etwa Ausbildungen zu islamischer Theologie und islamischer Wissenschaft an den Universitäten Bern oder Zürich). Dafür bedürfte es aber umfassender und überprüfbarer Informationen über die zu vermittelnden Inhalte und der damit betrauten Lehrpersonen. An solchen fehlt es vorliegend.</w:t>
      </w:r>
    </w:p>
    <w:p>
      <w:r>
        <w:rPr>
          <w:b/>
        </w:rPr>
        <w:t>E. 4.3.4</w:t>
      </w:r>
    </w:p>
    <w:p>
      <w:r>
        <w:t>Es bleibt festzuhalten, dass es sich hier nicht um einen Einzelfall handelt und dass er nicht allein die islamische Religionslehre trifft. Das BSV hat auch in Fällen von mehrjährigen, rein institutionsinternen Lehrgängen christlicher Organisationen die Anerkennung als Ausbildung im Sinne von Art. 49bis Abs. 1 AHVV abgelehnt. Insofern stellt die Nichtanerkennung auch keine Diskriminierung einer bestimmten Religion ( Art. 8 Abs. 2 BV ) dar. Vielmehr gilt der dargelegte Massstab etwa auch für die faktische Anerkennung von Ausbildungen im sozialen, sportlichen oder kulturellen Bereich.</w:t>
      </w:r>
    </w:p>
    <w:p>
      <w:r>
        <w:rPr>
          <w:b/>
        </w:rPr>
        <w:t>E. 4.4</w:t>
      </w:r>
    </w:p>
    <w:p>
      <w:r>
        <w:t>Nach dem Gesagten ist die von der Tochter des Beschwerdegegners absolvierte Ausbildung nicht als faktisch anerkannt im Sinne von Art. 49bis Abs. 1 AHVV zu qualifizieren, weshalb er keinen Anspruch auf Ausbildungszulagen hat. Der vorinstanzliche Entscheid verletzt Bundesrecht und ist aufzuheben.</w:t>
      </w:r>
    </w:p>
    <w:p>
      <w:r>
        <w:rPr>
          <w:b/>
        </w:rPr>
        <w:t>E. 5</w:t>
      </w:r>
    </w:p>
    <w:p>
      <w:r>
        <w:t>Mit dem Entscheid in der Sache wird das Gesuch um aufschiebende Wirkung der Beschwerde gegenstandslos.</w:t>
      </w:r>
    </w:p>
    <w:p>
      <w:r>
        <w:rPr>
          <w:b/>
        </w:rPr>
        <w:t>E. 6</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