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8C_400/2023 vom 22. Juni 2023</w:t>
      </w:r>
    </w:p>
    <w:p>
      <w:r>
        <w:t>Bundesgericht, 2023-06-22, DE</w:t>
      </w:r>
    </w:p>
    <w:p>
      <w:r>
        <w:rPr>
          <w:b/>
        </w:rPr>
        <w:t xml:space="preserve">Quelle: </w:t>
      </w:r>
      <w:r>
        <w:t>https://mcp.opencaselaw.ch/entscheid/bger_8C_400_2023</w:t>
      </w:r>
    </w:p>
    <w:p>
      <w:r>
        <w:t>FR: TF 8C_400/2023 du 22 juin 2023</w:t>
      </w:r>
    </w:p>
    <w:p>
      <w:r>
        <w:t>IT: TF 8C_400/2023 del 22 giugno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wies in der angefochtenen Verfügung vom 3. Mai 2023 das im Verfahren 200 23 156 IV gestellte Gesuch um unentgeltliche Rechtspflege ab und verpflichtete den Beschwerdeführer zur Bezahlung eines Kostenvorschusses; dies verbunden mit der Androhung, bei ausbleibender Vorschussleistung werde auf die Beschwerde nicht eingetreten.</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sein und die darauf beruhenden Erwägungen gegen Bundesrecht verstossen oder einen anderen Beschwerdegrund (vgl. Art. 95 lit. a-e BGG ) gesetzt haben sollen. Insbesondere genügt es nicht, unter Verweis auf ein verschlechtertes ADHS sowie bereits gewürdigte Arztberichte pauschal zu behaupten, diese würden die Prozessaussichten, anders als seitens des kantonalen Gerichts angenommen, nicht als aussichtslos erscheinen lassen.</w:t>
      </w:r>
    </w:p>
    <w:p>
      <w:r>
        <w:rPr>
          <w:b/>
        </w:rPr>
        <w:t>E. 4</w:t>
      </w:r>
    </w:p>
    <w:p>
      <w:r>
        <w:t>Demnach liegt offensichtlich keine hinreichend sachbezogen begründete Beschwerde vor, was zu einem Nichteintreten im vereinfachten Verfahren nach Art. 108 Abs. 1 lit. b BGG führt.</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