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8C_400/2015 vom 8. Januar 2016</w:t>
      </w:r>
    </w:p>
    <w:p>
      <w:r>
        <w:t>Bundesgericht, 2016-01-08, DE</w:t>
      </w:r>
    </w:p>
    <w:p>
      <w:r>
        <w:rPr>
          <w:b/>
        </w:rPr>
        <w:t xml:space="preserve">Quelle: </w:t>
      </w:r>
      <w:r>
        <w:t>https://mcp.opencaselaw.ch/entscheid/bger_8C_400_2015</w:t>
      </w:r>
    </w:p>
    <w:p>
      <w:r>
        <w:t>FR: TF 8C_400/2015 du 8 janvier 2016</w:t>
      </w:r>
    </w:p>
    <w:p>
      <w:r>
        <w:t>IT: TF 8C_400/2015 del 8 gennaio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 für die Zeit ab 1. Februar 2009 Anspruch auf eine höhere als die zugesprochene Invalidenrente der Unfallversicherung hat.</w:t>
      </w:r>
    </w:p>
    <w:p>
      <w:r>
        <w:rPr>
          <w:b/>
        </w:rPr>
        <w:t>E. 3.1</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4</w:t>
      </w:r>
    </w:p>
    <w:p>
      <w:r>
        <w:t>Es ist letztinstanzlich nicht mehr streitig, dass der Versicherte in der Lage wäre, einer seinem Leiden angepassten Tätigkeit vollzeitlich und ohne Leistungseinbusse nachzugehen. Ebenfalls unbestritten blieb das Valideneinkommen von Fr. 71'481.-. Diesem Valideneinkommen stellten Vorinstanz und Verwaltung ein gestützt auf DAP-Zahlen ermitteltes Invalideneinkommen von Fr. 56'312.- gegenüber. Soweit der Versicherte sich gegen diese Vorgehensweise wendet und eine Bemessung des Invalideneinkommens gestützt auf die Zahlen der LSE verlangt, ist festzuhalten, dass bei Verwendung der LSE-Zahlen kein höherer Invaliditätsgrad resultieren würde: Auszugehen wäre vom Durchschnittseinkommen für Männer im Anforderungsniveau 4 von Fr. 4'806.- (LSE 2008, Tabelle TA 1, Zeile "Total"). Dieser Wert wäre auf ein Jahr hoch- und auf eine betriebsübliche Arbeitszeit von 41.6 Stunden (vgl. Die Volkswirtschaft 4/2014, S. 90, Tabelle B 9.2) umzurechnen; das sich daraus ergebende Einkommen wäre sodann an die bis zum Jahr 2009 eingetretene Nominallohnentwicklung der Männerlöhne anzupassen (Lohn 2008 x [2136 : 2092]). Der Beschwerdeführer macht zwar geltend, es sei von diesem Lohn ein Abzug im Sinne von BGE 126 V 75 E. 5b/cc S. 80 in der Höhe von 20 % vorzunehmen, begründet diesen Antrag indessen nicht näher. In der Tat ist nicht ersichtlich, weshalb der Versicherte nicht in der Lage sein sollte, den Tabellenlohn zu erzielen. Demnach ergäbe sich ein Invalideneinkommen von Fr. 61'240.40 (Fr. 4'806.- x 12 x [41.6 : 40] x [2136 : 2092]). Vergleicht man dieses Invalideneinkommen mit dem Valideneinkommen von Fr. 71'481.-, so resultiert eine unfallbedingte Erwerbseinbusse von Fr. 10'240.60, was 14.33 % des Valideneinkommens entspricht. Damit läge der Invaliditätsgrad nach der vom Beschwerdeführer bevorzugten LSE-Methode wesentlich tiefer als der von Vorinstanz und Verwaltung zugestandene Wert von 21 %. Da sich somit die Bemessung des Invalideneinkommens nach der DAP-Methode zu Gunsten des Beschwerdeführers ausgewirkt hat, braucht auf seine Argumente gegen diese Methode und seine diesbezüglichen Anträge nicht näher eingegangen zu werden. Die Beschwerde des Versicherten ist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