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8C_400/2012 vom 28. Juni 2012</w:t>
      </w:r>
    </w:p>
    <w:p>
      <w:r>
        <w:t>Bundesgericht, 2012-06-28, DE</w:t>
      </w:r>
    </w:p>
    <w:p>
      <w:r>
        <w:rPr>
          <w:b/>
        </w:rPr>
        <w:t xml:space="preserve">Quelle: </w:t>
      </w:r>
      <w:r>
        <w:t>https://mcp.opencaselaw.ch/entscheid/bger_8C_400_2012</w:t>
      </w:r>
    </w:p>
    <w:p>
      <w:r>
        <w:t>FR: TF 8C_400/2012 du 28 juin 2012</w:t>
      </w:r>
    </w:p>
    <w:p>
      <w:r>
        <w:t>IT: TF 8C_400/2012 del 28 giugno 2012</w:t>
      </w:r>
    </w:p>
    <w:p>
      <w:pPr>
        <w:pStyle w:val="Heading2"/>
      </w:pPr>
      <w:r>
        <w:t>Erwägungen</w:t>
      </w:r>
    </w:p>
    <w:p>
      <w:r>
        <w:rPr>
          <w:b/>
        </w:rPr>
        <w:t>E. 1</w:t>
      </w:r>
    </w:p>
    <w:p>
      <w:r>
        <w:t>Das Bundesgericht prüft seine Zuständigkeit und die Eintretensvoraussetzungen von Amtes wegen und mit freier Kognition ( Art. 29 Abs. 1 BGG ; vgl. BGE 135 III 1 E. 1.1 S. 3 mit Hinweisen).</w:t>
      </w:r>
    </w:p>
    <w:p>
      <w:r>
        <w:rPr>
          <w:b/>
        </w:rPr>
        <w:t>E. 2.1</w:t>
      </w:r>
    </w:p>
    <w:p>
      <w:r>
        <w:t>Die Beschwerde ist zulässig gegen Entscheide, die das Verfahren abschliessen ( Art. 90 BGG ). Nach Art. 93 Abs. 1 BGG ist die Beschwerde gegen selbstständig eröffnete Vor- und Zwischenentscheide (zu den letzten gehören namentlich Rückweisungsentscheide; BGE 133 V 477 E. 4.3 S. 482)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Sind diese Voraussetzungen nicht erfüllt oder wurde keine Beschwerde erhoben, sind die betreffenden Vor- und Zwischenentscheide durch Beschwerde gegen den Endentscheid anfechtbar, soweit sie sich auf dessen Inhalt auswirken ( Art. 93 Abs. 3 BGG ).</w:t>
      </w:r>
    </w:p>
    <w:p>
      <w:r>
        <w:rPr>
          <w:b/>
        </w:rPr>
        <w:t>E. 2.2</w:t>
      </w:r>
    </w:p>
    <w:p>
      <w:r>
        <w:t>Ein Rückweisungsentscheid, mit dem eine Sache zur neuen Abklärung und Entscheidung an die Vorinstanz zurückgewiesen wird, bewirkt in der Regel keinen nicht wieder gutzumachenden Nachteil im Sinne von Art. 93 Abs. 1 lit. a BGG ; er führt in der Regel lediglich zu einer (dieses Kriterium nicht erfüllenden) Verlängerung des Verfahrens. Anderes gilt nur, wenn durch materiellrechtliche Anordnungen im Rückweisungsentscheid der Beurteilungsspielraum der unteren Instanz wesentlich eingeschränkt und sie gezwungen wird, eine ihres Erachtens rechtswidrige neue Verfügung zu erlassen ( BGE 133 V 477 E. 5.2.2 ff. S. 483 f.). So verhält es sich hier nicht, denn die SUVA hat vorliegend nach getätigter Abklärung über die im Rahmen der Invaliditätsbemessung heranzuziehenden Vergleichseinkommen bzw. nach durchgeführtem Mahn- und Bedenkzeitverfahren sowie in pflichtgemässer Beweiswürdigung einen Einkommensvergleich vorzunehmen und hernach über den Anspruch auf eine Invalidenrente neu zu verfügen, ohne dass der angefochtene Entscheid präjudizierende Wirkung für ein allfälliges letztinstanzliches Beschwerdeverfahren entfaltet ( BGE 133 V 477 E. 5.2.2 ff. S. 483 f.).</w:t>
      </w:r>
    </w:p>
    <w:p>
      <w:r>
        <w:rPr>
          <w:b/>
        </w:rPr>
        <w:t>E. 2.3</w:t>
      </w:r>
    </w:p>
    <w:p>
      <w:r>
        <w:t>Sodann ist mit Bezug auf den Rentenpunkt auch die Eintretensvoraussetzung des Art. 93 Abs. 1 lit. b BGG nicht erfüllt, weil mit der Gutheissung der Beschwerde kein nach der Rechtsprechung bedeutender Aufwand an Zeit oder Kosten für ein weitläufiges Beweisverfahren im Sinne der genannten Bestimmung erspart würde,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(dazu statt vieler nunmehr Urteile 8C_302/2009 vom 24. April 2009 und 8C_1038/2008 vom 20. April 2009 E. 2.2 mit Hinweisen).</w:t>
      </w:r>
    </w:p>
    <w:p>
      <w:r>
        <w:rPr>
          <w:b/>
        </w:rPr>
        <w:t>E. 2.4</w:t>
      </w:r>
    </w:p>
    <w:p>
      <w:r>
        <w:t>Nach dem Gesagten sind die alternativen Sachurteilsvoraus-setzungen des Art. 93 Abs. 1 BGG hinsichtlich des vorinstanzlichen Zwischenentscheides hier offensichtlich nicht gegeben, weshalb auf die Beschwerde, soweit sie sich gegen die Rückweisung zur Durchführung ergänzender Vorkehren und Abklärungen richtet, nicht eingetreten werden kann ( Art. 108 Abs. 1 lit. a BGG ).</w:t>
      </w:r>
    </w:p>
    <w:p>
      <w:r>
        <w:rPr>
          <w:b/>
        </w:rPr>
        <w:t>E. 3</w:t>
      </w:r>
    </w:p>
    <w:p>
      <w:r>
        <w:t>Soweit sich die Beschwerde gegen die vorinstanzliche Zusprechung einer (reduzierten) Prozessentschädigung richtet, so stellt die Regelung der (Kosten- und) Entschädigungsfolge in einem Rückweisungsentscheid - wie die Rückweisung selber ( BGE 133 V 477 E. 4.2 S. 482) - ebenfalls einen Zwischenentscheid im Sinne von Art. 93 BGG dar, wobei auch diesbezüglich die Voraussetzungen des Art. 93 Abs. 1 lit. a und b BGG zu verneinen sind ( BGE 133 V 645 E. 2.1 S. 647; Urteile 9C_834/2007 vom 18. Dezember 2007 und 9C_352/2007 vom 6. November 2007). Auf die Beschwerde ist daher auch bezüglich der Prozessentschädigung nicht einzutreten.</w:t>
      </w:r>
    </w:p>
    <w:p>
      <w:r>
        <w:rPr>
          <w:b/>
        </w:rPr>
        <w:t>E. 4</w:t>
      </w:r>
    </w:p>
    <w:p>
      <w:r>
        <w:t>Mit Bezug auf die Bemessung der Integritätsentschädigung genügt die Beschwerde den Formerfordernissen des Art. 42 Abs. 2 BGG offensichtlich nicht, da sie sich insoweit mit den für das Ergebnis des angefochtenen Entscheids massgeblichen Erwägungen der Vorinstanz namentlich nicht in einer den gesetzlichen Anforderungen an die Begründungspflicht genügenden Weise auseinandersetzt und auch nicht darlegt, inwiefern das kantonale Gericht eine Rechtsverletzung gemäss Art. 95 f. BGG resp. eine unrichtige oder unvollständige Sachverhaltsfeststellung im Sinne von Art. 97 BGG begangen haben sollte (vgl. BGE 136 I 65 E. 1.3.1 S. 68 und 134 II 244 E. 2.1 S. 245 f.).</w:t>
      </w:r>
    </w:p>
    <w:p>
      <w:r>
        <w:rPr>
          <w:b/>
        </w:rPr>
        <w:t>E. 5</w:t>
      </w:r>
    </w:p>
    <w:p>
      <w:r>
        <w:t>Die - insgesamt offensichtlich unzulässige - Beschwerde des Versicherten ist im vereinfachten Verfahren ( Art. 108 Abs. 1 lit. a und b BGG ) ohne Schriftenwechsel ( Art. 102 Abs. 1 BGG ) zu erledigen. 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