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8C_400/2009 vom 25. Januar 2010</w:t>
      </w:r>
    </w:p>
    <w:p>
      <w:r>
        <w:t>Bundesgericht, 2010-01-25, DE</w:t>
      </w:r>
    </w:p>
    <w:p>
      <w:r>
        <w:rPr>
          <w:b/>
        </w:rPr>
        <w:t xml:space="preserve">Quelle: </w:t>
      </w:r>
      <w:r>
        <w:t>https://mcp.opencaselaw.ch/entscheid/bger_8C_400_2009</w:t>
      </w:r>
    </w:p>
    <w:p>
      <w:r>
        <w:t>FR: TF 8C_400/2009 du 25 janvier 2010</w:t>
      </w:r>
    </w:p>
    <w:p>
      <w:r>
        <w:t>IT: TF 8C_400/2009 del 25 gennaio 2010</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beurteilt indessen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Beschwerdeführer beantragt in erster Linie, die Mobiliar habe auch für den Unfall vom 20. Dezember 2004 Versicherungsleistungen zu erbringen. Da die weiteren Streitpunkte, insbesondere hinsichtlich des Zeitpunkts der Rentenzusprechung und der Höhe des Invaliditätsgrades, von der Frage der Leistungspflicht für diesen Unfall abhängen, ist diese zuerst zu prüfen.</w:t>
      </w:r>
    </w:p>
    <w:p>
      <w:r>
        <w:rPr>
          <w:b/>
        </w:rPr>
        <w:t>E. 2.1.1</w:t>
      </w:r>
    </w:p>
    <w:p>
      <w:r>
        <w:t>Gemäss Art. 3 Abs. 1 UVG beginnt die Versicherung am Tag, an dem der Arbeitnehmer aufgrund der Anstellung die Arbeit antritt oder hätte antreten sollen. Sie endet mit dem 30. Tag nach dem Tage, an dem der Anspruch auf mindestens den halben Lohn aufhört ( Art. 3 Abs. 2 UVG ). Als Lohn im Sinne von Art. 3 Abs. 2 des Gesetzes gelten gemäss Art. 7 Abs. 1 UVV in der hier anwendbaren, bis zum 30. Juni 2005 geltenden Fassung "Taggelder der obligatorischen Unfallversicherung, der Militärversicherung, der Invalidenversicherung (IV) und der Erwerbsersatzordnung sowie jene der Krankenkassen und privaten Kranken- und Unfallversicherer, die die Lohnfortzahlung ersetzen."</w:t>
      </w:r>
    </w:p>
    <w:p>
      <w:r>
        <w:rPr>
          <w:b/>
        </w:rPr>
        <w:t>E. 2.1.2</w:t>
      </w:r>
    </w:p>
    <w:p>
      <w:r>
        <w:t>Die Leistungspflicht einer Unfallversicherung bei einem erneuten Unfall ist in Art. 100 Abs. 1 UVV geregelt: "Wenn der Versicherte erneut verunfallt, während er wegen eines versicherten Unfalles noch behandlungsbedürftig, arbeitsunfähig und versichert ist, so muss der bisherige leistungspflichtige Versicherer auch die Leistungen für den neuen Unfall erbringen." Aus der Entstehungsgeschichte dieser Verordnungsbestimmung erhellt, dass damit nicht über die Versicherungsdeckung an sich, sondern lediglich über die Aufteilung der Leistungspflicht unter mehreren Versicherungsträgern bestimmt werden sollte. Der Vorentwurf des BSV vom 20. März 1980 zu Art. 98 (nunmehr Art. 100) der UVV sah noch vor, dass der bisher leistungspflichtige Versicherungsträger auch die Leistungen für den weiteren Unfall zu erbringen habe, wenn der Versicherte während der Heilungsdauer des Unfalls und vor der Wiederaufnahme einer versicherten Tätigkeit erneut verunfalle. Im Verlaufe der Diskussion der vorbereitenden Kommission zeigte sich ein gewisser Widerspruch zu Art. 3 Abs. 2 UVG in Verbindung mit 7 Abs. 1 UVV. Betrage der massgebende Lohn weniger als die Hälfte, so fehle eine zufriedenstellende Regelung (vgl. summarisches Protokoll zur Sitzung vom 18. Dezember 1980 S. 6). Die Kommission einigte sich auf die nunmehr geltende Formulierung, wonach eine Unfallversicherung für einen "Unfall im Unfall" (vgl. zu diesem Ausdruck MAURER, Schweizerisches Unfallversicherungsrecht, S. 146 und N 82a, S. 71) nur dann Leistungen zu erbringen hat, wenn der Verunfallte noch im Sinne des UVG versichert ist.</w:t>
      </w:r>
    </w:p>
    <w:p>
      <w:r>
        <w:rPr>
          <w:b/>
        </w:rPr>
        <w:t>E. 2.1.3</w:t>
      </w:r>
    </w:p>
    <w:p>
      <w:r>
        <w:t>Damit steht zusammenfassend fest, dass ein Verunfallter, der Taggelder der obligatorischen Unfallversicherung bezieht, welche mindestens dem Betrage des halben Lohnes ( Art. 3 Abs. 2 UVG ) entsprechen, unabhängig von einer allfälligen Lohnfortzahlungspflicht des Arbeitgebers weiterhin bei diesem Versicherer gegen einen weiteren Unfall versichert ist.</w:t>
      </w:r>
    </w:p>
    <w:p>
      <w:r>
        <w:rPr>
          <w:b/>
        </w:rPr>
        <w:t>E. 2.2.1</w:t>
      </w:r>
    </w:p>
    <w:p>
      <w:r>
        <w:t>Der Beschwerdeführer bezog im Zeitpunkt des zweiten Unfalles, also am 20. Dezember 2004, bereits seit sieben Monaten (seit dem 19. Mai 2004) wiederum ein 100%iges Taggeld der Mobiliar. Zuvor bestand seit September 2002 eine 50%ige Arbeitsfähigkeit. Die in diesem Zeitraum ausgerichteten Taggelder entsprachen jedoch lediglich 40% des versicherten Verdienstes ( Art. 17 Abs. 1 UVG ; vgl. dazu auch RKUV 1991 Nr. U 125 S. 212 und FRÉSARD/MOSER SZELESS in Schweizerisches Bundesverwaltungsrecht, Soziale Sicherheit, 2. Auflage Rz. 32 S. 847), womit die Versicherung in Anwendung von Art. 3 Abs. 2 UVG i.V.m. Art. 7 Abs. 1 lit. b UVV geendet hatte und - nach Ablauf der Abredeversicherung am 31. März 2003 - keine Deckung mehr bestand.</w:t>
      </w:r>
    </w:p>
    <w:p>
      <w:r>
        <w:rPr>
          <w:b/>
        </w:rPr>
        <w:t>E. 2.2.2</w:t>
      </w:r>
    </w:p>
    <w:p>
      <w:r>
        <w:t>Es stellt sich die Frage, ob eine einmal beendete Versicherungsdeckung wieder auflebt, wenn wegen eines Rückfalles wieder (höhere) Taggeldleistungen erbracht werden, die mindestens dem halben versicherten Lohn entsprechen.</w:t>
      </w:r>
    </w:p>
    <w:p>
      <w:r>
        <w:t>Diese Fallkonstellation ist weder im Gesetz noch in der Verordnung geregelt. Der Rückfall an sich - für welchen hinsichtlich der Leistungspflicht des ursprünglichen Versicherers keine Meinungsverschiedenheiten bestehen ( Art. 11 UVV ) - ist kein erneuter Unfall ( BGE 135 V 333 E. 4.5 S. 338 mit Hinweisen), sodass die Deckung des für den Rückfall leistungspflichtigen Unfallversicherers nicht automatisch auch für einen erneuten "selbstständigen" Unfall besteht (vgl. auch BGE 120 V 65 E. 2 S. 69). Ein Versicherungsschutz gemäss UVG beginnt demnach erst wieder an dem Tag, an dem der Arbeitnehmer aufgrund der Anstellung die Arbeit antritt oder hätte antreten sollen ( Art. 3 Abs. 1 UVG ), oder arbeitslos wird (Verordnung über die Unfallversicherung von arbeitslosen Personen [UVAL]). Beides ist hier nicht der Fall.</w:t>
      </w:r>
    </w:p>
    <w:p>
      <w:r>
        <w:rPr>
          <w:b/>
        </w:rPr>
        <w:t>E. 2.3.1</w:t>
      </w:r>
    </w:p>
    <w:p>
      <w:r>
        <w:t>Schliesslich bringt der Beschwerdeführer vor, sein rechtes Bein sei wegen der Folgen des Erstunfalles im Zeitpunkt des zweiten Unfalls auf Grund der starken Schädigung der Knochen- und Muskelsubstanz erheblich destabilisiert gewesen, sodass diese Beeinträchtigungen die massgebliche Ursache für das Zustandekommen des Zweitunfalls und die dabei erlittene schwerwiegende Femurtrümmerfraktur darstellten, was eine Haftung der Mobiliar auch für den zweiten Unfall auslöse.</w:t>
      </w:r>
    </w:p>
    <w:p>
      <w:r>
        <w:rPr>
          <w:b/>
        </w:rPr>
        <w:t>E. 2.3.2</w:t>
      </w:r>
    </w:p>
    <w:p>
      <w:r>
        <w:t>Diesen Argumenten kann nicht gefolgt werden. Gemäss telefonischer Meldung vom 22. März 2005 ist der Beschwerdeführer am 20. Dezember 2004 auf dem Weg zu seinem Auto infolge Glatteis ausgerutscht und gestürzt. Damit fällt die Verletzung durch den ersten Unfall als Auslöser des zweiten ausser Betracht. Die allgemeine Lebenserfahrung zeigt, dass auch ein Gesunder auf Glatteis ausrutscht. Jedenfalls ist es lediglich möglich, nicht aber überwiegend wahrscheinlich, dass der Versicherte ohne die Beschwerden infolge des ersten Unfalles den Sturz hätte vermeiden können. Der Beschwerdeführer beruft sich denn auch insbesondere auf das Gutachten des Dr. med. E.________, Facharzt für orthopädische Chirurgie FMH, vom 16. April 2007, worin ausgeführt wird, ein Sturzmechanismus, wie er am 20. Dezember 2004 erfolgte, hätte bei einem 43-jährigen Mann mit normalem Knochenbau kaum zu einer supracondylären Femurfraktur geführt. Auch wenn mit diesem Arzt davon auszugehen wäre, dass der Schaden (Femurtrümmerfraktur) durch die vom ersten Unfall herrührende Vorschädigung erheblich vergrössert wurde, begründet dies noch keine Versicherungsdeckung. Über die Höhe eines Schadens und deren kausale Verursachung kann erst bestimmt werden, wenn eine Versicherung überhaupt besteht. Dies ist nicht der Fall (E. 2.1 + 2.2) sodass sich Kausalitätsüberlegungen erübrigen. Damit steht fest, dass die Mobiliar für die Folgen des Unfalls vom 20. Dezember 2004 nicht aufzukommen hat.</w:t>
      </w:r>
    </w:p>
    <w:p>
      <w:r>
        <w:rPr>
          <w:b/>
        </w:rPr>
        <w:t>E. 3.1</w:t>
      </w:r>
    </w:p>
    <w:p>
      <w:r>
        <w:t>Das kantonale Gericht hat die Bestimmungen und Grundsätze über den Rentenanspruch ( Art. 18 Abs. 1 UVG ), die Bemessung des Invaliditätsgrades nach der Einkommensvergleichsmethode ( Art. 16 ATSG ), die Ermittlung des ohne Invalidität erzielbaren Einkommens (Valideneinkommen; BGE 129 V 222 E. 4.3 S. 224), die Festsetzung des trotz Gesundheitsschädigung zumutbarerweise noch erzielbaren Einkommens (Invalideneinkommen) nach den vom Bundesamt für Statistik in der Lohnstrukturerhebung (LSE) ermittelten Tabellenlöhnen und die von diesen zulässigen Abzüge ( BGE 129 V 472 E. 4.2.1 S. 475 und E. 4.2.3 S. 481) zutreffend dargelegt. Darauf wird verwiesen. Das gleiche gilt für die Grundlagen der Bemessung des versicherten Verdienstes bei Renten ( Art. 15 Abs. 2 UVG i.V.m. Art. 22 UVV ).</w:t>
      </w:r>
    </w:p>
    <w:p>
      <w:r>
        <w:rPr>
          <w:b/>
        </w:rPr>
        <w:t>E. 3.2.1</w:t>
      </w:r>
    </w:p>
    <w:p>
      <w:r>
        <w:t>Bei der Bemessung des Invaliditätsgrades ist einzig die Höhe des Valideneinkommens umstritten. Die Mobiliar stützte sich auf die Angaben der ehemaligen Arbeitgeberin, wonach der Versicherte im Jahr 2001 Fr. 70'650.- verdient habe und passte diesen Betrag der Teuerung bis ins Jahre 2006 an, womit das Valideneinkommen im Einspracheentscheid vom 28. September 2007 auf Fr. 75'827.- beziffert wird. Daran wird auch im angefochtenen Entscheid festgehalten.</w:t>
      </w:r>
    </w:p>
    <w:p>
      <w:r>
        <w:rPr>
          <w:b/>
        </w:rPr>
        <w:t>E. 3.2.2</w:t>
      </w:r>
    </w:p>
    <w:p>
      <w:r>
        <w:t>Das Valideneinkommen entspricht dem Lohn, den ein Versicherter erzielen könnte, wenn er nicht invalid geworden wäre ( Art. 16 ATSG ). Es handelt sich somit um einen hypothetischen Wert, den es auf Grund der Fakten aus der Vergangenheit und der nach dem Unfall überwiegend wahrscheinlichen Weiterentwicklung so genau als möglich zu schätzen gilt.</w:t>
      </w:r>
    </w:p>
    <w:p>
      <w:r>
        <w:rPr>
          <w:b/>
        </w:rPr>
        <w:t>E. 3.2.3</w:t>
      </w:r>
    </w:p>
    <w:p>
      <w:r>
        <w:t>Gemäss Unfallmeldung vom 3. Februar 2002 bezifferte sich der "garantierte Monatslohn" des Beschwerdeführers auf Fr. 8'000.-, was einem Jahreslohn von Fr. 96'000.- entspricht. Dieser Betrag steht auch im schriftlichen Anstellungsvertrag für Versicherungsberater zwischen dem Generalagenten der Gruppe Mobiliar und dem Beschwerdeführer vom 28. März 2001. Gemäss dessen Beilage 1 werden "pauschal Fr. 6'000.- pro Jahr sowie 8% der im laufenden Jahr bezogenen Verkaufsentschädigung ohne Einkommensersatz" als Spesen berechnet. Der Arbeitgeber machte gegenüber der Unfallversicherung geltend, vom angegebenen Jahreslohn von Fr. 96'000.- seien nur 75% AHV-pflichtig, weshalb die Mobiliar auch das Valideneinkommen auf die genannte Summe (erhöht auf der Basis der bis ins Jahr 2006 aufgelaufenen Teuerung) bezifferte. Auf welche gesetzliche Grundlage sich der Arbeitgeber und die Mobiliar hinsichtlich der Beitragspflicht gegenüber der Ausgleichskasse berufen, wird nicht ausgeführt. Ob der Lohn des Versicherten während seines Anstellungsverhältnisses korrekt mit der Ausgleichskasse abgerechnet worden war, ist vorliegend aber nicht Streitgegenstand. Konkret lässt sich den Akten nicht entnehmen, was der Beschwerdeführer in seiner bisherigen Tätigkeit im Zeitpunkt des Unfalles tatsächlich verdient hatte. Auch er selbst erbringt keine Belege über die tatsächlichen Auszahlungen, Provisionen oder die konkreten Auslagen für Spesen. Auch die Lohnabrechnungen, welche der Invalidenversicherung vorgelegt wurden, ergeben kein zuverlässiges Bild. In den zehn Monaten vom Beginn des Arbeitsverhältnisses im April 2001 bis Ende Januar 2002 wurde demnach an "Lohn &amp; Gehalt" der Betrag von brutto Fr. 68'726.40 (ohne Kinderzulagen) ausbezahlt. Auf ein Jahr umgerechnet ergibt das die Summe von Fr. 82'471.70. Im September 2002 kam es noch zu einer Nachzahlung von Fr. 11'523.60, die nicht erklärt wird. Zudem wird aus diesen Abrechnungen nicht deutlich, was der Beschwerdeführer als Lohn erhielt und was er für den Arbeitgeber an Spesen auslegte. So werden jeweils fixe Spesen von Fr. 500.- sowie - in gewissen Abrechnungen - zusätzlich zwei verschiedene Sorten "variable Spesen" abgerechnet. Damit bleibt unklar, was der Beschwerdeführer vor seinem Unfall tatsächlich verdient hatte und was er als Gesunder im Jahre 2006 hätte verdienen können. Die Sache wird demnach an die Mobiliar zurückgewiesen, damit diese die entsprechenden Sachverhaltsabklärungen trifft und auf Grund des Ergebnisses das Valideneinkommen und damit den Invaliditätsgrad erneut ermittelt.</w:t>
      </w:r>
    </w:p>
    <w:p>
      <w:r>
        <w:rPr>
          <w:b/>
        </w:rPr>
        <w:t>E. 4</w:t>
      </w:r>
    </w:p>
    <w:p>
      <w:r>
        <w:t>Schliesslich ist auch der versicherte Verdienst umstritten.</w:t>
      </w:r>
    </w:p>
    <w:p>
      <w:r>
        <w:rPr>
          <w:b/>
        </w:rPr>
        <w:t>E. 4.1</w:t>
      </w:r>
    </w:p>
    <w:p>
      <w:r>
        <w:t>Die Mobiliar hat ihrer Berechnung einen versicherten Verdienst von Fr. 70'650.- zuzüglich Kinderzulagen von Fr. 1'800.-, somit Fr. 72'450.- zu Grunde gelegt. Das entspreche den Angaben des Arbeitgebers über das AHV-pflichtige Einkommen. Die grosse Differenz zu dem vertraglich vereinbarten Erwerbseinkommen von Fr. 97'800.- wird nicht erklärt.</w:t>
      </w:r>
    </w:p>
    <w:p>
      <w:r>
        <w:rPr>
          <w:b/>
        </w:rPr>
        <w:t>E. 4.2</w:t>
      </w:r>
    </w:p>
    <w:p>
      <w:r>
        <w:t>Gemäss Art. 15 UVG werden die Renten nach dem versicherten Verdienst bemessen (Abs. 1). Als versicherter Verdienst gilt für die Bemessung der Renten der innerhalb eines Jahres vor dem Unfall bezogene Lohn (Abs. 2). Gestützt auf Abs. 3 hat der Bundesrat in Art. 22-24 UVV nähere Bestimmungen zum versicherten Verdienst erlassen. Laut Art. 22 UVV , welcher den versicherten Verdienst "im allgemeinen" regelt, gilt - mit verschiedenen, hier nicht zur Diskussion stehenden Abweichungen - als versicherter Verdienst der nach der Bundesgesetzgebung über die AHV massgebende Lohn (Abs. 2).</w:t>
      </w:r>
    </w:p>
    <w:p>
      <w:r>
        <w:rPr>
          <w:b/>
        </w:rPr>
        <w:t>E. 4.3</w:t>
      </w:r>
    </w:p>
    <w:p>
      <w:r>
        <w:t>Eine konkrete Abrechnung der Lohnbezüge des Beschwerdeführers im Zeitraum vom 26. Januar 2001 bis 25. Januar 2002 liegt nicht vor. Wie viel der Beschwerdeführer genau verdient hatte, kann daher anhand der Akten nicht bestimmt werden. Die Sache ist demnach an die Unfallversicherung zurückzuweisen, damit diese den versicherten Verdienst neu - allenfalls auch unter Einbezug von Gratifikationen, welche bereits ausgezahlt wurden oder auf welche ein Anspruch bestand (RKUV 2003 Nr. U 483 S. 244) - ermittle.</w:t>
      </w:r>
    </w:p>
    <w:p>
      <w:r>
        <w:t>Die Unfallversicherung wird darüber hinaus zu ermitteln haben, was der Beschwerdeführer beim früheren Arbeitgeber konkret verdient hatte.</w:t>
      </w:r>
    </w:p>
    <w:p>
      <w:r>
        <w:rPr>
          <w:b/>
        </w:rPr>
        <w:t>E. 5</w:t>
      </w:r>
    </w:p>
    <w:p>
      <w:r>
        <w:t>Dem Verfahrensausgang entsprechend sind die Gerichtskosten den Parteien anteilsmässig aufzuerlegen ( Art. 66 Abs. 1 BGG ). Die Mobiliar hat dem Beschwerdeführer - der mit seinem Eventualantrag weitgehend durchgedrungen ist -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