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8C_3/2007 vom 8. Juni 2007</w:t>
      </w:r>
    </w:p>
    <w:p>
      <w:r>
        <w:t>Bundesgericht, 2007-06-08, IT</w:t>
      </w:r>
    </w:p>
    <w:p>
      <w:r>
        <w:rPr>
          <w:b/>
        </w:rPr>
        <w:t xml:space="preserve">Quelle: </w:t>
      </w:r>
      <w:r>
        <w:t>https://mcp.opencaselaw.ch/entscheid/bger_8C_3_2007</w:t>
      </w:r>
    </w:p>
    <w:p>
      <w:r>
        <w:t>FR: TF 8C_3/2007 du 8 juin 2007</w:t>
      </w:r>
    </w:p>
    <w:p>
      <w:r>
        <w:t>IT: TF 8C_3/2007 del 8 giugno 2007</w:t>
      </w:r>
    </w:p>
    <w:p>
      <w:pPr>
        <w:pStyle w:val="Heading2"/>
      </w:pPr>
      <w:r>
        <w:t>Erwägungen</w:t>
      </w:r>
    </w:p>
    <w:p>
      <w:r>
        <w:rPr>
          <w:b/>
        </w:rPr>
        <w:t>E. 1</w:t>
      </w:r>
    </w:p>
    <w:p>
      <w:r>
        <w:t>La decisione impugnata è stata pronunciata dopo l'entrata in vigore, il 1° gennaio 2007 (RU 2006 I 1205), della legge federale sul Tribunale federale del 17 giugno 2005 (LTF; RS 173.110): il ricorso è quindi disciplinato dal nuovo diritto ( art. 132 cpv. 1 LTF ).</w:t>
      </w:r>
    </w:p>
    <w:p>
      <w:r>
        <w:rPr>
          <w:b/>
        </w:rPr>
        <w:t>E. 2</w:t>
      </w:r>
    </w:p>
    <w:p>
      <w:r>
        <w:t>Secondo l' art. 42 LTF , il ricorso deve contenere, segnatamente, i motivi e l'indicazione dei mezzi di prova (cpv. 1). Nei motivi occorre spiegare in modo conciso perché l'atto impugnato viola il diritto (cpv. 2). Al riguardo giova rilevare che il Tribunale federale non può entrare nel merito sulla pretesa violazione di un diritto costituzionale o su questioni attinenti al diritto cantonale o intercantonale se la censura non è stata sollevata né motivata in modo preciso nell'atto di ricorso ( art. 106 cpv. 2 LTF ).</w:t>
      </w:r>
    </w:p>
    <w:p>
      <w:r>
        <w:rPr>
          <w:b/>
        </w:rPr>
        <w:t>E. 3</w:t>
      </w:r>
    </w:p>
    <w:p>
      <w:r>
        <w:t>Nella fattispecie la ricorrente non spiega in alcun modo perché la decisione impugnata violerebbe il diritto. Non risulta inoltre che il primo giudice abbia interpretato o applicato il diritto cantonale in maniera arbitraria. D'altra parte, l' art. 12 Cost. non persegue lo scopo di garantire un reddito minimo, ma unicamente quanto indispensabile ad assicurare la sopravvivenza (sostentamento, cure medico-sanitarie di base; DTF 121 I 367 consid. 2c pag. 373; sentenza 2P.148/2002 del 4 marzo 2003, consid. 2.3). In concreto, l'insorgente con tutta evidenza non si è trovata in una situazione di bisogno ai sensi della citata norma costituzionale nel periodo intercorso tra novembre 2003 e giugno 2005, sicché non può pretendere le prestazioni assistenziali richieste.</w:t>
      </w:r>
    </w:p>
    <w:p>
      <w:r>
        <w:rPr>
          <w:b/>
        </w:rPr>
        <w:t>E. 4</w:t>
      </w:r>
    </w:p>
    <w:p>
      <w:r>
        <w:t>Manifestamente infondato, in quanto ammissibile, il ricorso può essere deciso secondo la procedura semplificata di cui all' art. 109 cpv. 2 lett. a LTF , senza che occorra ordinare uno scambio di allegati scritti.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