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39/2024 vom 1. März 2024</w:t>
      </w:r>
    </w:p>
    <w:p>
      <w:r>
        <w:t>Bundesgericht, 2024-03-01, DE</w:t>
      </w:r>
    </w:p>
    <w:p>
      <w:r>
        <w:rPr>
          <w:b/>
        </w:rPr>
        <w:t xml:space="preserve">Quelle: </w:t>
      </w:r>
      <w:r>
        <w:t>https://mcp.opencaselaw.ch/entscheid/bger_8C_39_2024</w:t>
      </w:r>
    </w:p>
    <w:p>
      <w:r>
        <w:t>FR: TF 8C 39/2024 du 1 mars 2024</w:t>
      </w:r>
    </w:p>
    <w:p>
      <w:r>
        <w:t>IT: TF 8C 39/2024 del 1 marzo 2024</w:t>
      </w:r>
    </w:p>
    <w:p>
      <w:pPr>
        <w:pStyle w:val="Heading2"/>
      </w:pPr>
      <w:r>
        <w:t>Regeste</w:t>
      </w:r>
    </w:p>
    <w:p>
      <w:r>
        <w:t>Unfallversicherung (Prozessvoraussetzung) | Unfallversicherung</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trat im angefochtenen Urteil vom 20. Dezember 2023 auf die gegen den Einspracheentscheid der Beschwerdegegnerin vom 16. Dezember 2022 gerichtete Beschwerde vom 1. November 2023 (Eingangsdatum) wegen verspäteter Beschwerdeerhebung nicht ein.</w:t>
      </w:r>
    </w:p>
    <w:p>
      <w:r>
        <w:rPr>
          <w:b/>
        </w:rPr>
        <w:t>E. 3</w:t>
      </w:r>
    </w:p>
    <w:p>
      <w:r>
        <w:t>Dagegen richtet sich die vorliegende Beschwerde. Inwiefern das kantonale Gericht gegen den angerufenen Anspruch auf rechtliches Gehör oder gegen EMRK-Verfahrensgarantien verstossen haben soll, wenn es mit Blick auf die nicht erstreckbare Rechtsmittelfrist (Art. 60 in Verbindung mit Art. 40 Abs. 1 ATSG ) auf die klarerweise ausserhalb der Rechtsmittelfrist liegende Beschwerde nicht eingetreten ist, wird nicht hinreichend dargelegt. Soweit der Beschwerdeführer überdies sinngemäss beanstandet, die Beschwerdegegnerin habe ihm am 6. September 2023 brieflich mitgeteilt, sie werde die am 21. August 2023 telefonisch geltend gemachten Beschwerden mangels Leistungspflicht nicht weiter abklären, so liegt dies ausserhalb des durch das vorinstanzliche Urteil vorgegebenen Streitgegenstands ( Art. 99 Abs. 2 BGG ).</w:t>
      </w:r>
    </w:p>
    <w:p>
      <w:r>
        <w:rPr>
          <w:b/>
        </w:rPr>
        <w:t>E. 4</w:t>
      </w:r>
    </w:p>
    <w:p>
      <w:r>
        <w:t>Fehlt es offenkundig an einer hinreichend sachbezogen begründeten Beschwerde, so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