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8C_39/2016 vom 6. April 2016</w:t>
      </w:r>
    </w:p>
    <w:p>
      <w:r>
        <w:t>Bundesgericht, 2016-04-06, DE</w:t>
      </w:r>
    </w:p>
    <w:p>
      <w:r>
        <w:rPr>
          <w:b/>
        </w:rPr>
        <w:t xml:space="preserve">Quelle: </w:t>
      </w:r>
      <w:r>
        <w:t>https://mcp.opencaselaw.ch/entscheid/bger_8C_39_2016</w:t>
      </w:r>
    </w:p>
    <w:p>
      <w:r>
        <w:t>FR: TF 8C_39/2016 du 6 avril 2016</w:t>
      </w:r>
    </w:p>
    <w:p>
      <w:r>
        <w:t>IT: TF 8C_39/2016 del 6 aprile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der Versicherten für die Zeit ab 1. März 2011 keine höhere als eine Viertelsrente der Invalidenversicherung zusprach.</w:t>
      </w:r>
    </w:p>
    <w:p>
      <w:r>
        <w:rPr>
          <w:b/>
        </w:rPr>
        <w:t>E. 3.1</w:t>
      </w:r>
    </w:p>
    <w:p>
      <w:r>
        <w:t>Das kantonale Gericht hat in umfassender Würdigung der medizinischen Akten, insbesondere aber gestützt auf das Gutachten des ZIMB vom 13. April 2014 für das Bundesgericht grundsätzlich verbindlich festgestellt, dass die Versicherte medizinisch-theoretisch in der Lage wäre, eine Bürotätigkeit zu 50 % auszuüben. Weiter verneinte die Vorinstanz die von der Versicherten geltend gemachte Unmöglichkeit, einen Arbeitsweg zu bewältigen. Was die Beschwerdeführerin gegen diese Feststellungen vorbringt, vermag diese nicht als bundesrechtswidrig erscheinen zu lassen. Selbst wenn die Versicherte zur Bewältigung des Arbeitsweges tatsächlich auf eine Gehhilfe angewiesen sein sollte, schliesst dies die Verwertbarkeit ihrer medizinisch-theoretischen Arbeitsfähigkeit für eine Bürotätigkeit nicht aus.</w:t>
      </w:r>
    </w:p>
    <w:p>
      <w:r>
        <w:rPr>
          <w:b/>
        </w:rPr>
        <w:t>E. 3.2</w:t>
      </w:r>
    </w:p>
    <w:p>
      <w:r>
        <w:t>Sind, wie von der Vorinstanz erwogen, Validen- und Invalideneinkommen ausgehend von demselben Tabellenlohn zu berechnen, so erübrigt sich deren genaue Ermittlung (vgl. etwa Urteil 8C_891/2010 vom 23. Februar 2011 E. 3). Entsprechend durfte das kantonale Gericht ohne Verletzung des rechtlichen Gehörs der Versicherten auf Weiterungen zur Frage, in welches Anforderungsniveau der LSE sie auf dem ausgeglichenen Arbeitsmarkt einzuordnen wäre, verzichten.</w:t>
      </w:r>
    </w:p>
    <w:p>
      <w:r>
        <w:rPr>
          <w:b/>
        </w:rPr>
        <w:t>E. 3.2.1</w:t>
      </w:r>
    </w:p>
    <w:p>
      <w:r>
        <w:t>Der seitens der Beschwerdeführerin geltend gemachte Abzug vom Tabellenlohn im Sinne von BGE 126 V 75 E. 5a S. 78 soll rechtsprechungsgemäss dann erfolgen, wenn im Einzelfall Anhaltspunkte dafür bestehen, dass die versicherte Person wegen eines oder mehrerer der massgebenden Merkmale ihre Restarbeitsfähigkeit auf dem allgemeinen Arbeitsmarkt nur mit unterdurchschnittlichem erwerblichem Erfolg verwerten kann ( BGE 126 V 75 E. 5b/aa S. 79). Wie die Vorinstanz richtig erkannt hat, sind im vorliegenden Fall keine stichhaltigen Argumente erkennbar, welche für eine unter dem Durchschnitt liegende Verwertbarkeit der verbliebenen Arbeitsfähigkeit sprechen würden. Namentlich trägt ein Teilzeitpensum von 50 %, wie es aus ärztlicher Sicht als zumutbar erachtet wird, den gesundheitlichen Einschränkungen hinreichend Rechnung. Dass die Versicherte im massgebenden Jahr 2011 50 Jahre alt wurde, rechtfertigt so wenig wie das Teilzeitpensum einen Abzug vom Tabellenlohn. Dementsprechend ist die Beschwerde der Versicherten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