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399/2022 vom 21. August 2023</w:t>
      </w:r>
    </w:p>
    <w:p>
      <w:r>
        <w:t>Bundesgericht, 2023-08-21, FR</w:t>
      </w:r>
    </w:p>
    <w:p>
      <w:r>
        <w:rPr>
          <w:b/>
        </w:rPr>
        <w:t xml:space="preserve">Quelle: </w:t>
      </w:r>
      <w:r>
        <w:t>https://mcp.opencaselaw.ch/entscheid/bger_8C_399_2022</w:t>
      </w:r>
    </w:p>
    <w:p>
      <w:r>
        <w:t>FR: TF 8C 399/2022 du 21 août 2023</w:t>
      </w:r>
    </w:p>
    <w:p>
      <w:r>
        <w:t>IT: TF 8C 399/2022 del 21 agosto 2023</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litige porte sur le point de savoir si la juridiction cantonale a violé le droit fédéral en niant à la recourante le droit à l'indemnité en cas de RHT du 11 au 31 mai 2021, en raison de travaux de rénovation affectant l'exploitation de son restaurant.</w:t>
      </w:r>
    </w:p>
    <w:p>
      <w:r>
        <w:rPr>
          <w:b/>
        </w:rPr>
        <w:t>E. 3</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(ATF ATF 148 V 366 consid. 3.3) - ou en violation du droit au sens de l' art. 95 LTF (cf. art. 105 al. 2 LTF ).</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w:t>
      </w:r>
    </w:p>
    <w:p>
      <w:r>
        <w:rPr>
          <w:b/>
        </w:rPr>
        <w:t>E. 4.2</w:t>
      </w:r>
    </w:p>
    <w:p>
      <w:r>
        <w:t>L' art. 32 al. 1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w:t>
      </w:r>
    </w:p>
    <w:p>
      <w:r>
        <w:rPr>
          <w:b/>
        </w:rPr>
        <w:t>E. 4.3</w:t>
      </w:r>
    </w:p>
    <w:p>
      <w:r>
        <w:t>Aux termes de l' art. 33 al. 1 let. a LACI ,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 ATF 138 V 333 consid. 4.2.2; 119 V 498 consid. 1; arrêt C 283/01 du 8 octobre 2003 consid. 3). L'exception de l' art. 33 al. 1 let. a LACI ne vaut pas seulement pour les pertes de travail dues à des facteurs d'ordre économique selon l' art. 32 al. 1 LACI , mais s'applique également aux cas de rigueur au sens des art. 32 al. 3 LACI et 51 OACI ( ATF 138 V 333 consid. 4.2.1; 128 V 305 consid. 4b; 121 V 371 consid. 2c et les références).</w:t>
      </w:r>
    </w:p>
    <w:p>
      <w:r>
        <w:rPr>
          <w:b/>
        </w:rPr>
        <w:t>E. 5.1</w:t>
      </w:r>
    </w:p>
    <w:p>
      <w:r>
        <w:t>Les juges cantonaux ont constaté qu'entre le 11 mai et le 30 juin 2021, les locaux pris à bail par la recourante avaient fait l'objet de travaux dont la nature empêchait cette dernière de déployer son activité économique. Ils ont relevé que l' art. 33 al. 1 let. a LACI prévoyait expressément que la perte de travail due à des mesures touchant l'organisation de l'entreprise ne devait pas être prise en considération pour déterminer le droit à l'indemnité en cas de RHT. Par ailleurs, le libellé de l'art. 17 de la loi fédérale du 25 septembre 2020 sur les bases légales des ordonnances du Conseil fédéral visant à surmonter l'épidémie de Covid-19 (loi Covid-19; RS 818.102) était particulièrement clair quant aux dispositions de la LACI pouvant faire l'objet de dérogations et ne prévoyait aucune cautèle en lien avec les pertes de travail à (ne pas) prendre en considération. Il y avait ainsi lieu de retenir que les règles usuelles de la LACI s'appliquaient au cas d'espèce. En conséquence, la recourante ne pouvait pas se voir allouer l'indemnité en cas de RHT pour la période litigieuse. Le fait que l'exclusion prévue par l' art. 33 al. 1 let. a LACI concernait également les cas dans lesquels la perte de travail résultait de mesures prises par les autorités ( art. 32 al. 3 LACI ) signifiait précisément qu'elle s'étendait à des situations dans lesquelles ces mesures étaient antérieures aux circonstances fondant ladite exclusion. Ainsi, même à admettre que la décision de procéder aux travaux litigieux avait été prise après la fermeture des établissements publics par les autorités, cela était sans effet sur le droit aux indemnités. Par ailleurs, le fait qu'à la suite des décisions administratives prises au moment des faits, l'établissement aurait dû être fermé durant la période litigieuse même en l'absence de travaux n'était d'aucun secours à la recourante. En effet, la reconnaissance du droit aux indemnités en cas de RHT aux entreprises qui profiteraient logiquement de la fermeture pour procéder à des rénovations et réfections créerait une inégalité de traitement avec les exploitants qui, face à un besoin de rénovation similaire, devraient fermer un établissement en temps normal (soit en l'absence de pandémie) ou après la période durant laquelle les autorités ont décidé d'une fermeture.</w:t>
      </w:r>
    </w:p>
    <w:p>
      <w:r>
        <w:rPr>
          <w:b/>
        </w:rPr>
        <w:t>E. 5.2</w:t>
      </w:r>
    </w:p>
    <w:p>
      <w:r>
        <w:t>La recourante reproche aux premiers juges d'avoir violé les art. 31 à 33 LACI ainsi que la loi Covid-19 en considérant que les travaux entrepris pendant la fermeture obligatoire des entreprises actives dans la restauration faisaient obstacle à l'obtention d'une indemnité en cas de RHT. Elle fait valoir que sa demande d'indemnités n'était pas fondée sur la réalisation des travaux de rénovation mais sur l'interdiction du Conseil fédéral de maintenir son établissement ouvert, et que les travaux de rénovation ont été décidés postérieurement à cette mesure. Comme celle-ci n'avait pas été levée pendant la période litigieuse, le SDE ne disposerait pas du pouvoir de reconsidérer sa position. La recourante invoque également le caractère inédit de la situation, lié à la pandémie de coronavirus, laquelle n'avait pas pu être anticipée par le législateur. Partant, le côté inédit, particulièrement choquant et long, des mesures prises imposerait de considérer la situation sous un angle différent, nécessitant une adaptation de la jurisprudence rendue jusque-là et de la doctrine préexistante. Par ailleurs, le raisonnement des premiers juges sur l'inégalité de traitement serait choquant au regard de l'ampleur et du caractère exceptionnel de la pandémie: l'inégalité de traitement consisterait au contraire à contraindre les entreprises à attendre la fin des mesures sanitaires pour entamer les travaux de rénovation et prolonger ainsi la fermeture de l'établissement, sous peine d'être lourdement pénalisées.</w:t>
      </w:r>
    </w:p>
    <w:p>
      <w:r>
        <w:rPr>
          <w:b/>
        </w:rPr>
        <w:t>E. 5.3</w:t>
      </w:r>
    </w:p>
    <w:p>
      <w:r>
        <w:t>Les griefs de la recourante sont mal fondés. En effet, le Tribunal fédéral a confirmé à plusieurs reprises que lorsqu'un motif de non-prise en considération de la perte de travail, au sens de l' art. 33 al. 1 LACI , est donné, il importe peu que l'état de fait dans lequel s'inscrit la perte de travail relève en soi des situations visées par les art. 32 al. 1 ou al. 3 LACI (cf. consid. 4.3 supra). Partant, le fait que, parallèlement aux travaux de rénovation, une mesure des autorités au sens de l' art. 32 al. 3 LACI était, en tant que telle, susceptible de justifier la perte de travail n'est pas décisif, tout comme le point de savoir quand ont été décidés les travaux. En se prévalant du caractère inédit de la pandémie, la recourante n'expose pas valablement en quoi les conditions d'un revirement de jurisprudence seraient remplies (à ce sujet voir ATF 144 V 72 consid. 5.3.2 et l'arrêt cité). En tout état de cause, on ne saurait se prévaloir du caractère exceptionnel de la pandémie de coronavirus pour remettre en cause ladite jurisprudence, étant rappelé, d'une part, que l'institution de l'indemnité en cas de RHT vise précisément à faire face à certaines situations présentant un caractère exceptionnel ou extraordinaire (cf. consid. 4.3 supra) et, d'autre part, qu'en raison de l'ampleur de la pandémie, le Conseil fédéral a pu édicter des dispositions dérogeant à la LACI (art. 17 loi Covid-19). La recourante ne prétend pas à cet égard que le Conseil fédéral aurait suspendu l'application de l' art. 33 al. 1 let. a LACI . En outre, lorsqu'elle évoque les difficultés liées aux longs mois de fermeture, la recourante perd du vue qu'elle a régulièrement été mise au bénéfice des indemnités depuis sa première demande en mars 2020 jusqu'au 10 mai 2021. Enfin, ses critiques relatives à l'égalité de traitement ne peuvent pas être suivies. En effet, en procédant à la rénovation du restaurant pendant la période litigieuse, la recourante ne pouvait certes pas toucher les indemnités requises, mais elle a pu profiter d'une fermeture générale de tous les établissements du secteur concerné. Si elle avait attendu la fin de la mesure - ce qui lui était loisible -, elle aurait dû fermer son restaurant au profit des autres établissements et n'aurait pas non plus touché les indemnités en cas de RHT pendant les travaux de rénovation. Elle n'est donc pas pénalisée. Comme l'ont relevé à juste titre les premiers juges, l'octroi des indemnités requises à la recourante entraînerait au contraire une inégalité de traitement vis-à-vis de l'entreprise qui aurait planifié des travaux de rénovation ultérieurement et n'aurait pas la possibilité de les anticiper pendant la pandémie, respectivement pendant les mesures prises par les autorités.</w:t>
      </w:r>
    </w:p>
    <w:p>
      <w:r>
        <w:rPr>
          <w:b/>
        </w:rPr>
        <w:t>E. 5.4</w:t>
      </w:r>
    </w:p>
    <w:p>
      <w:r>
        <w:t>En tant que la recourante soutient encore que l'arrêt attaqué procéderait du formalisme excessif et de l'arbitraire, elle reprend les mêmes arguments que ceux qu'elle a soulevés à l'appui de son premier grief (caractère exceptionnel de la pandémie et des mesures sanitaires). Or, comme on l'a vu, ses critiques apparaissent mal fondées, de sorte que les griefs tirés de l'interdiction du formalisme excessif et de l'arbitraire doivent également être écartés.</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