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399/2007 vom 23. April 2008</w:t>
      </w:r>
    </w:p>
    <w:p>
      <w:r>
        <w:t>Bundesgericht, 2008-04-23, IT</w:t>
      </w:r>
    </w:p>
    <w:p>
      <w:r>
        <w:rPr>
          <w:b/>
        </w:rPr>
        <w:t xml:space="preserve">Quelle: </w:t>
      </w:r>
      <w:r>
        <w:t>https://mcp.opencaselaw.ch/entscheid/bger_8C_399_2007</w:t>
      </w:r>
    </w:p>
    <w:p>
      <w:r>
        <w:t>FR: TF 8C 399/2007 du 23 avril 2008</w:t>
      </w:r>
    </w:p>
    <w:p>
      <w:r>
        <w:t>IT: TF 8C 399/2007 del 23 aprile 2008</w:t>
      </w:r>
    </w:p>
    <w:p>
      <w:pPr>
        <w:pStyle w:val="Heading2"/>
      </w:pPr>
      <w:r>
        <w:t>Regeste</w:t>
      </w:r>
    </w:p>
    <w:p>
      <w:r>
        <w:t>Assicurazione contro gli infortuni | Assicurazione contro gli infortuni</w:t>
      </w:r>
    </w:p>
    <w:p>
      <w:pPr>
        <w:pStyle w:val="Heading2"/>
      </w:pPr>
      <w:r>
        <w:t>Erwägungen</w:t>
      </w:r>
    </w:p>
    <w:p>
      <w:r>
        <w:rPr>
          <w:b/>
        </w:rPr>
        <w:t>E. 1</w:t>
      </w:r>
    </w:p>
    <w:p>
      <w:r>
        <w:t>Oggetto del contendere è l'assegnazione a F.________ di una rendita di invalidità del 60%, invece che del 23%, come stabilito dall'INSAI.</w:t>
      </w:r>
    </w:p>
    <w:p>
      <w:r>
        <w:rPr>
          <w:b/>
        </w:rPr>
        <w:t>E. 2.1</w:t>
      </w:r>
    </w:p>
    <w:p>
      <w:r>
        <w:t>Il ricorso può essere presentato per violazione del diritto, così come determinato dagli art. 95 e 96 LTF . Per l' art. 97 cpv. 2 LTF inoltre se il ricorso è diretto contro una decisione d'assegnazione o rifiuto di prestazioni pecuniarie dell'assicurazione militare o dell'assicurazione contro gli infortuni - come nel caso concreto - può essere censurato anche qualsiasi accertamento inesatto o incompleto dei fatti giuridicamente rilevanti. In tale ipotesi il Tribunale federale non è vincolato dall'accertamento dei fatti operato dall'autorità inferiore.</w:t>
      </w:r>
    </w:p>
    <w:p>
      <w:r>
        <w:rPr>
          <w:b/>
        </w:rPr>
        <w:t>E. 2.2</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farebbe un'autorità di prima istanza, tutte le questioni giuridiche che si pongono se queste ultime non sono più oggetto di discussione in sede federale. Il Tribunale infine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2.3</w:t>
      </w:r>
    </w:p>
    <w:p>
      <w:r>
        <w:t>Il Tribunale federale non può andare oltre le conclusioni delle parti ("ne eat iudex ultra petita", art. 107 cpv. 1 LTF , anche art. 121 cpv. 1 lett. b LTF ). Contrariamente a quanto disposto dall'art. 114 vOG la legge non prevede eccezioni secondo cui il giudice sarebbe abilitato a statuire a pregiudizio dei ricorrenti (FF 2001 pag. 3900; Seiler/von Werdt/Güngerich, Kommentar zum Bundesgerichtsgesetz, Berna 2007, no. 2-7 all'art. 107).</w:t>
      </w:r>
    </w:p>
    <w:p>
      <w:r>
        <w:rPr>
          <w:b/>
        </w:rPr>
        <w:t>E. 3.1</w:t>
      </w:r>
    </w:p>
    <w:p>
      <w:r>
        <w:t>Con il proprio ricorso F.________ contesta in primo luogo la giurisprudenza federale secondo cui, per stabilire il reddito da invalido, si applica anche al Canton Ticino la tabella TA1 dell'Inchiesta svizzera sulla struttura dei salari (ISS), edita dall'Ufficio federale di statistica, ritenuto che nella regione interessata i salari sono di gran lunga meno elevati rispetto a quelli percepiti in altre regioni e che, quindi, spesso il reddito da valido risulta superiore al reddito precedentemente percepito senza il danno alla salute. Ne consegue che il reddito da valido deve essere adeguato alla media nazionale, in quanto inferiore ad essa. In relazione alla fissazione del reddito da invalido (considerato quantificabile al massimo in fr. 20'000.-), egli sostiene di essere limitato in maniera importante e durevole anche nell'esercizio di un'attività leggera - l'infortunio di cui è rimasto vittima dovendo essere del resto considerato grave, avendo egli subito una lunga degenza ospedaliera, così come una lunga riabilitazione - rinviando altresì alle conclusioni del dottor C._________, secondo cui una capacità lavorativa del 100% sarebbe possibile solo per l'attività di cassiere di negozio, descritta nella documentazione relativa ai posti di lavoro (DPL) no. 2626 (attività peraltro improponibile per l'assenza di conoscenze specifiche), mentre nelle altre attività considerate, da svolgere prevalentemente in piedi, essa sarebbe pari solo al 50%.</w:t>
      </w:r>
    </w:p>
    <w:p>
      <w:r>
        <w:rPr>
          <w:b/>
        </w:rPr>
        <w:t>E. 3.2</w:t>
      </w:r>
    </w:p>
    <w:p>
      <w:r>
        <w:t>Secondo il Presidente del Tribunale cantonale è per contro irrilevante stabilire in concreto se la capacità lavorativa in attività leggere è pari al 100% sia in attività da svolgere in posizione alternata che in posizione prevalentemente eretta oppure risulta essere limitata al 50% in attività da svolgere in posizione prevalentemente eretta e quindi se le attività proposte nei DPL siano esigibili o meno, in quanto i dati statistici confermano la correttezza di quelli applicati dall'INSAI e quindi anche del grado di invalidità. Per il Tribunale cantonale infine spetta al Tribunale federale esprimersi su un eventuale adeguamento del reddito da valido ai valori medi nazionali.</w:t>
      </w:r>
    </w:p>
    <w:p>
      <w:r>
        <w:rPr>
          <w:b/>
        </w:rPr>
        <w:t>E. 4.1</w:t>
      </w:r>
    </w:p>
    <w:p>
      <w:r>
        <w:t>Nei considerandi del querelato giudizio, cui si rinvia, il primo giudice ha già correttamente ed esaustivamente indicato le disposizioni applicabili per stabilire il diritto all'erogazione di una rendita di invalidità da parte dell'assicurazione contro gli infortuni (segnatamente: art. 18 LAINF , art. 6-8 e 16 LPGA ; RAMI 2004 no. U 529 pag. 572 [sentenza del Tribunale federale delle assicurazioni U 192/03 del 22 giugno 2004]; quo all'applicabilità in casu dell'ordinamento svizzero anche in seguito all'entrata in vigore, il 1° giugno 2002, dell'Accordo del 21 giugno 1999 tra la Confederazione Svizzera, da una parte, e la Comunità europea ed i suoi Stati membri, dall'altra, sulla libera circolazione delle persone [ALC], cfr. ad es. la sentenza del Tribunale federale delle assicurazioni, già citata dalla precedente istanza, U 76/03 del 15 aprile 2004, consid. 1.3). Il grado d'invalidità è in particolare determinato confrontando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A questa esposizione può essere fatto riferimento e prestata adesione, non senza tuttavia ricordare che quale momento determinante per il raffronto dei redditi dev'essere considerato quello dell'inizio dell'eventuale diritto alla rendita ( DTF 129 V 222 ).</w:t>
      </w:r>
    </w:p>
    <w:p>
      <w:r>
        <w:rPr>
          <w:b/>
        </w:rPr>
        <w:t>E. 4.2</w:t>
      </w:r>
    </w:p>
    <w:p>
      <w:r>
        <w:t>Conformemente ad un principio generale applicabile anche nel diritto delle assicurazioni sociali, all'assicurato incombe l'obbligo di ridurre il danno (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Da essa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 DTF 113 V 22 consid. 4a pag. 28; cfr. pure VSI 2001 pag. 279 consid. 5a/aa e 5a/bb).</w:t>
      </w:r>
    </w:p>
    <w:p>
      <w:r>
        <w:rPr>
          <w:b/>
        </w:rPr>
        <w:t>E. 5</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w:t>
      </w:r>
    </w:p>
    <w:p>
      <w:r>
        <w:rPr>
          <w:b/>
        </w:rPr>
        <w:t>E. 5.1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l'allora Tribunale federale delle assicurazioni ha però ritenuto conforme al principio del libero apprezzamento delle prove ( art. 40 PC e art. 19 PA , art. 95 cpv. 2, art. 113 e 132 OG )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w:t>
      </w:r>
    </w:p>
    <w:p>
      <w:r>
        <w:rPr>
          <w:b/>
        </w:rPr>
        <w:t>E. 5.2</w:t>
      </w:r>
    </w:p>
    <w:p>
      <w:r>
        <w:t>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6.1</w:t>
      </w:r>
    </w:p>
    <w:p>
      <w:r>
        <w:t>Per determinare il reddito ipotetico conseguibile dalla persona assicurata senza il danno alla salute (reddito da valido), occorre stabilire quanto la stessa, nel momento determinante, guadagnerebbe, secondo il grado di verosimiglianza preponderante, quale persona sana ( DTF 129 V 222 consid. 4.3.1 pag. 224 con riferimento; art. 16 LPGA ). Tale reddito dev'essere determinato il più concretamente possibile. Di regola ci si fonderà sull'ultimo reddito che la persona assicurata ha conseguito prima del danno alla salute, se del caso adeguato al rincaro e all'evoluzione reale dei salari ( DTF 129 V 222 consid. 4.3.1 pag. 224), o comunque sul salario che potrebbe essere conseguito in un posto di lavoro identico nella stessa azienda o in un'azienda simile (cfr. ad esempio la Circolare, edita dall'Ufficio federale delle assicurazioni sociali, sull'invalidità e la grande invalidità nell'assicurazione per l'invalidità, cifra marg. 3025; SVR 2007 UV n. 17 pag. 56 [U 75/03]).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Secondo la giurisprudenza tuttavia nel caso in cui il reddito della persona assicurata prima dell'invalidità è inferiore alla media dei salari versati per un'attività paragonabile nel settore interessato e altresì non vi è motivo di ritenere che fosse sua intenzione accontentarsi di un reddito modesto, si deve ammettere che i medesimi fattori che hanno influenzato negativamente il reddito da valido vadano considerati anche per fissare il reddito da invalido ( DTF 129 V 222 consid. 4.4 pag. 225; RAMI 1993 no. U 168 pag. 103 consid. 5a e b; RCC 1989 pag. 485 consid. 3b; sentenza U 493/05 dell'11 gennaio 2007, consid. 3.2; sentenze del Tribunale federale delle assicurazioni I 801/03 del 20 luglio 2004, consid. 3.1.2, I 630/02 del 5 dicembre 2003, consid. 2.2.2 e giurisprudenza citata; si veda in particolare SVR 2004 UV no. 12 pag. 44 consid. 6.2, secondo cui un reddito inferiore del 10% rispetto ai salari usuali del settore è considerato chiaramente sotto la media e quindi va adeguato; cfr. anche sentenza U 463/06 del 20 novembre 2007 con riduzione dell'8%; altri esempi in sentenza I 931/06 del 3 ottobre 2007 e in sentenza del Tribunale federale delle assicurazioni I 801/03 del 20 luglio 2004, consid. 3.2). Ai fini del raffronto dei redditi infatti fattori estranei all'invalidità, quali ad esempio un'assenza di formazione, lo statuto di straniero (sentenza precitata I 801/03 del 20 luglio 2004, consid. 3.2) o problematiche legate al mercato del lavoro ( DTF 110 V 273 consid. 4c pag. 277; sentenza del Tribunale federale delle assicurazioni I 32/04 del 6 agosto 2004, consid. 3), devono essere ignorati oppure presi in considerazione in ugual misura per ciascuno degli elementi di paragone ( DTF 129 V 222 consid. 4.4 pag. 225; RAMI 1993 no. U 168 pag. 103 consid. 5b; RCC 1989 pag. 485 consid. 3b). Così facendo viene rispettato il principio secondo cui le perdite di salario riconducibili a fattori estranei all'invalidità non vanno poste a carico dell'assicurazione invalidità ( DTF 129 V 222 consid. 4.4 pag. 225; sentenza del Tribunale federale delle assicurazioni I 789/02 del 15 luglio 2003).</w:t>
      </w:r>
    </w:p>
    <w:p>
      <w:r>
        <w:rPr>
          <w:b/>
        </w:rPr>
        <w:t>E. 6.2</w:t>
      </w:r>
    </w:p>
    <w:p>
      <w:r>
        <w:t>Nel caso in esame a titolo di reddito senza l'invalidità l'amministrazione e il Tribunale cantonale hanno computato il salario che l'assicurato avrebbe percepito presso la G.________ SA, pari, nel 2005, a fr. 58'435.-. Esso risulta inferiore alla media nazionale del settore delle costruzioni. Dalla tabella TA1 (pag. 54) dell'ISS 2004 emerge infatti che il reddito relativo al citato settore riguardante gli uomini era pari, nel 2005, a fr. 60'784.- (cifra 45, categoria 4, attività semplici e ripetitive, adeguamento all'orario settimanale e all'indice dei salari nominali dell'importo pari nel 2004 a fr. 4'829.- mensili, La Vie économique 11/2007, pag. 99 tabella, B10.3; sentenza I 180/06 del 6 febbraio 2007, consid. 6.2) e quindi effettivamente superiore del 3.86%. A proposito del richiesto adeguamento va tuttavia rilevato che finora è stato ammesso dalla Corte federale nel caso in cui il valore fosse chiaramente sotto la media ("deutliche Abweichung"). Tale è di regola stata ritenuta una differenza del 10% (SVR 2004 UV no. 12 pag. 45 consid. 6.2; dell'8% in sentenza U 463/06 del 20 novembre 2007). La questione non va tuttavia risolta in questa sede, in quanto il Tribunale cantonale, riconoscendo la correttezza del grado di invalidità stabilito dall'INSAI, ha di fatto adeguato (riducendolo) il reddito da invalido.</w:t>
      </w:r>
    </w:p>
    <w:p>
      <w:r>
        <w:rPr>
          <w:b/>
        </w:rPr>
        <w:t>E. 7</w:t>
      </w:r>
    </w:p>
    <w:p>
      <w:r>
        <w:t>Per determinare il reddito da invalido fa stato in primo luogo la situazione salariale concreta della persona interessata, a condizione che quest'ultima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dall'ISS edita dall'Ufficio federale di statistica ( DTF 126 V 75 consid. 3b pag. 76 con riferimenti), oppure quelli deducibili dal materiale DPL raccolto dall'INSAI (RAMI 1999 no. U 343 pag. 412). Riguardo alla questione della tabella applicabile tra le varie riportate dall'ISS, la giurisprudenza ha di recente stabilito non potersi (più) fare capo ai dati statistici relativi ai salari nelle grandi regioni (cfr. sentenza del Tribunale federale delle assicurazioni U 75/03 del 12 ottobre 2006, consid. 8, riassunta in RSAS 2007 pag. 64). Il reddito ipotetico da invalido deve di conseguenza essere valutato sulla base della tabella TA1 dell'ISS, concernente i salari medi nazionali (svizzeri) conseguibili nel settore privato. Nonostante le critiche rivolte a questa prassi, il Tribunale federale non ravvisa impellente motivo per discostarsene (sentenze U 463/06 del 20 novembre 2007 e I 418/06 del 24 settembre 2007). In DTF 129 V 472 il Tribunale federale delle assicurazioni ha dichiarato conforme al diritto federale l'applicazione dei salari deducibili dal materiale DPL, precisando tuttavia che essi possono essere unicamente ritenuti se, oltre all'edizione di almeno cinque fogli DPL, contengono indicazioni sul numero totale dei posti di lavoro entranti in linea di considerazione a dipendenza dell'impedimento concreto, come pure sul salario più elevato, su quello più basso e su quello medio del gruppo corrispondente cui è fatto riferimento. In caso contrario non è possibile fondarsi su DPL, ma si deve far capo ai dati statistici salariali dell'ISS.</w:t>
      </w:r>
    </w:p>
    <w:p>
      <w:r>
        <w:rPr>
          <w:b/>
        </w:rPr>
        <w:t>E. 8.1</w:t>
      </w:r>
    </w:p>
    <w:p>
      <w:r>
        <w:t>In concreto dai rapporti medici agli atti, in particolare dal resoconto della visita medica di chiusura eseguita dal dottor A.________ il 5 agosto 2004 e dal rapporto dettagliato del dottor B.________ del 5 marzo 2007, all'attenzione dell'INSAI, emerge che l'interessato non è più in grado di eseguire l'attività di manovale muratore; tuttavia può svolgere un'attività leggera (con possibilità di sollevare pesi fino a 10 kg anche molto frequentemente) al 100% in posizione seduta, eretta o alternata senza che vi sia la necessità di introdurre pause supplementari. Per il dottor C._________ invece l'attività da svolgere in posizione prevalentemente eretta è esigibile solo al 50% a causa dell'ipotrofia muscolare gluteale e dello stato dopo artrodesi. La prova pratica di attitudine lavorativa - fallita - svoltasi presso il datore di lavoro dal 3 all'8 novembre 2004, confermerebbe di fatto quest'ultima tesi. In tal senso si è del resto espresso anche il consulente in integrazione professionale dell'AI.</w:t>
      </w:r>
    </w:p>
    <w:p>
      <w:r>
        <w:rPr>
          <w:b/>
        </w:rPr>
        <w:t>E. 8.2</w:t>
      </w:r>
    </w:p>
    <w:p>
      <w:r>
        <w:t>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A ciò si aggiunge che, tramite la riduzione del reddito ammessa dalla giurisprudenza ( DTF 126 V 75 )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w:t>
      </w:r>
    </w:p>
    <w:p>
      <w:r>
        <w:rPr>
          <w:b/>
        </w:rPr>
        <w:t>E. 8.3</w:t>
      </w:r>
    </w:p>
    <w:p>
      <w:r>
        <w:t>Secondo i dati di cui alla tabella TA1 del 2004, adeguati al 2005, il reddito da invalido (pag. 53, valore totale, attività semplici e ripetitive, categoria 4) è pari a fr. 57'751.- (fr. 4'588.- mensili nel 2004). Ritenuta non censurabile la deduzione del 15%, riconducibile all'impossibilità di svolgere attività pesanti e medio-pesanti (10%), così come allo statuto di frontaliere (si confronti sentenza I 870/05 del 2 maggio 2007, consid. 9 e riferimenti), il reddito da invalido è pari a fr. 49'088.35. Il reddito calcolato in virtù dei DPL è invece di fr. 45'218.-, inferiore nella misura del 7.88% al reddito statistico. La Corte di prime cure non ha tuttavia proceduto ad eseguire un nuovo confronto dei redditi, bensì ha confermato il grado di invalidità stabilito dall'INSAI. Così facendo ha rinunciato implicitamente a procedere ad una reformatio in peius (art. 61 lett. d LPGA) e altresì adeguato il reddito da invalido alla circostanza che il reddito da valido era inferiore alla media nazionale. Poiché il Tribunale federale non può procedere ad una reformatio in peius, il grado di invalidità stabilito dalla Corte cantonale dev'essere confermato. In quanto infondato, il ricorso in materia di diritto pubblico va pertanto respinto.</w:t>
      </w:r>
    </w:p>
    <w:p>
      <w:r>
        <w:rPr>
          <w:b/>
        </w:rPr>
        <w:t>E. 9.1</w:t>
      </w:r>
    </w:p>
    <w:p>
      <w:r>
        <w:t>Poiché il ricorrente non dispone dei mezzi necessari e le conclusioni non risultavano prive di probabilità di successo l'istanza tendente alla concessione dell'assistenza giudiziaria, con dispensa dal pagamento di spese in sede federale, va accolta.</w:t>
      </w:r>
    </w:p>
    <w:p>
      <w:r>
        <w:rPr>
          <w:b/>
        </w:rPr>
        <w:t>E. 9.2</w:t>
      </w:r>
    </w:p>
    <w:p>
      <w:r>
        <w:t>Il ricorrente non può per contro essere posto al beneficio del gratuito patrocinio, ritenuto che è rappresentato da un sindacato, che agisce tramite una persona titolare di una licenza in giurisprudenza, e quindi non da un avvocato che adempie i presupposti per iscriversi al relativo registro secondo l'art. 8 della legge federale sulla libera circolazione degli avvocati (Seiler/von Werdt/Güngerich, op. cit., pag. 213; si confronti anche sentenza del Tribunale federale delle assicurazioni I 47/01 del 17 gennaio 2002, consid. 3, nonché consid. 4 non pubblicato della sentenza DTF 122 II 154 ).</w:t>
      </w:r>
    </w:p>
    <w:p>
      <w:r>
        <w:rPr>
          <w:b/>
        </w:rPr>
        <w:t>E. 9.3</w:t>
      </w:r>
    </w:p>
    <w:p>
      <w:r>
        <w:t>L'INSAI, vincente in causa, non ha per contro diritto all'assegnazione di spese ripetibili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