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8C_398/2016 vom 17. Mai 2017</w:t>
      </w:r>
    </w:p>
    <w:p>
      <w:r>
        <w:t>Bundesgericht, 2017-05-17, FR</w:t>
      </w:r>
    </w:p>
    <w:p>
      <w:r>
        <w:rPr>
          <w:b/>
        </w:rPr>
        <w:t xml:space="preserve">Quelle: </w:t>
      </w:r>
      <w:r>
        <w:t>https://mcp.opencaselaw.ch/entscheid/bger_8C_398_2016</w:t>
      </w:r>
    </w:p>
    <w:p>
      <w:r>
        <w:t>FR: TF 8C_398/2016 du 17 mai 2017</w:t>
      </w:r>
    </w:p>
    <w:p>
      <w:r>
        <w:t>IT: TF 8C_398/2016 del 17 maggio 2017</w:t>
      </w:r>
    </w:p>
    <w:p>
      <w:pPr>
        <w:pStyle w:val="Heading2"/>
      </w:pPr>
      <w:r>
        <w:t>Erwägungen</w:t>
      </w:r>
    </w:p>
    <w:p>
      <w:r>
        <w:rPr>
          <w:b/>
        </w:rPr>
        <w:t>E. 1.1</w:t>
      </w:r>
    </w:p>
    <w:p>
      <w:r>
        <w:t>La contestation se fonde sur la loi fédérale sur la responsabilité de la Confédération, des membres de ses autorités et de ses fonctionnaires du 14 mars 1958 (Loi sur la responsabilité [LRCF]; RS 170.32). C'est la deuxième Cour de droit public qui, en règle générale, traite des recours en matière de droit public dans le domaine de la responsabilité de l'Etat, pour autant qu'une autre cour ne soit pas compétente ( art. 22 LTF en relation avec l' art. 30 al. 1 let . c du Règlement du Tribunal fédéral du 20 novembre 2006 [RTF; RS 173.110.131]). En l'espèce, le recourant entend rechercher en responsabilité la Confédération pour le dommage qu'il aurait subi au cours de ses rapports de service qui le liaient à l'Office C.________. Dès lors que le litige présente un rapport de connexité étroit avec le domaine du personnel du secteur public, qui ressortit à la compétence de la Ire Cour de droit social ( art. 34 let . h RTF), il se justifie que ce soit cette cour qui statue sur son recours (voir aussi arrêt 8C_900/2013 du 5 mai 2014 consid. 1).</w:t>
      </w:r>
    </w:p>
    <w:p>
      <w:r>
        <w:rPr>
          <w:b/>
        </w:rPr>
        <w:t>E. 1.2</w:t>
      </w:r>
    </w:p>
    <w:p>
      <w:r>
        <w:t>Dirigé contre un jugement final ( art. 90 LTF ) rendu dans une cause de droit public par le Tribunal administratif fédéral ( art. 86 al. 1 let. a LTF ), le présent recours est en principe recevable comme recours en matière de droit public, la valeur litigieuse dépassant la limite de 30'000 fr. prévue à l' art. 85 al. 1 let. a LTF . Le mémoire a en outre été déposé en temps utile ( art. 100 al. 1 LTF ) par le destinataire de l'acte attaqué qui a un intérêt à recourir ( art. 89 al. 1 LTF ). Il convient donc d'entrer en matière.</w:t>
      </w:r>
    </w:p>
    <w:p>
      <w:r>
        <w:rPr>
          <w:b/>
        </w:rPr>
        <w:t>E. 1.3</w:t>
      </w:r>
    </w:p>
    <w:p>
      <w:r>
        <w:t>Aux termes de l' art. 99 al. 1 LTF , aucun fait nouveau ni preuve nouvelle ne peut être présenté à moins de résulter de la décision de l'autorité précédente. Le certificat du docteur H.________, psychiatre, du 31 mai 2016 ne peut donc pas être pris en considération.</w:t>
      </w:r>
    </w:p>
    <w:p>
      <w:r>
        <w:rPr>
          <w:b/>
        </w:rPr>
        <w:t>E. 2.1</w:t>
      </w:r>
    </w:p>
    <w:p>
      <w:r>
        <w:t>En vertu de l' art. 3 al. 1 LRCF , la Confédération répond du dommage causé sans droit à un tiers par un fonctionnaire dans l'exercice de ses fonctions, sans égard à la faute du fonctionnaire. L' art. 3 al. 1 LRCF consacre une responsabilité primaire, exclusive et causale de l'État, en ce sens que le tiers lésé ne peut rechercher que l'État, à l'exclusion du fonctionnaire ou de l'agent responsable, et qu'il n'a pas à établir l'existence d'une faute de ce dernier; il lui suffit d'apporter la preuve d'un acte illicite, d'un dommage ainsi que d'un rapport de causalité entre ces deux éléments. Ces conditions doivent être remplies cumulativement ( ATF 139 IV 137 consid. 4.1 p. 140 et les arrêts cités).</w:t>
      </w:r>
    </w:p>
    <w:p>
      <w:r>
        <w:t>La condition de l'illicéité au sens de l' art. 3 al. 1 LRCF ("sans droit") suppose que l'Etat, au travers de ses organes ou de ses agents, ait violé des prescriptions destinées à protéger un bien juridique. La jurisprudence a également considéré comme illicite la violation de principes généraux du droit, ou encore, selon les circonstances, un excès ou un abus du pouvoir d'appréciation conféré par la loi. L'illicéité peut d'emblée être réalisée si le fait dommageable consiste dans l'atteinte à un droit absolu (comme la vie ou la santé humaines, ou le droit de propriété); on parle à ce propos d'illicéité par le résultat (Erfolgsunrecht). Si, en revanche, le fait dommageable constitue une atteinte à un autre intérêt (par exemple le patrimoine), l'illicéité suppose qu'il existe un "rapport d'illicéité", soit que l'auteur ait violé une norme de comportement ayant pour but de protéger le bien juridique en cause; c'est ce qu'on appelle l'illicéité par le comportement (Verhaltensunrecht) (cf. ATF 132 II 301 consid. 4.1 p. 317/318; ATF 118 Ib 473 consid. 2b).</w:t>
      </w:r>
    </w:p>
    <w:p>
      <w:r>
        <w:rPr>
          <w:b/>
        </w:rPr>
        <w:t>E. 2.2</w:t>
      </w:r>
    </w:p>
    <w:p>
      <w:r>
        <w:t>Par ailleurs, l' art. 6 al. 2 LRCF dispose qu'en cas de faute du fonctionnaire, celui qui subit une atteinte illicite à sa personnalité a droit à une somme d'argent à titre de réparation morale, pour autant que la gravité de l'atteinte le justifie et que l'auteur ne lui ait pas donné satisfaction autrement.</w:t>
      </w:r>
    </w:p>
    <w:p>
      <w:r>
        <w:rPr>
          <w:b/>
        </w:rPr>
        <w:t>E. 3</w:t>
      </w:r>
    </w:p>
    <w:p>
      <w:r>
        <w:t>Le Tribunal fédéral examine librement la violation du droit fédéral (cf. art. 95 let. a et 106 al. 1 LTF ), sous réserve des exigences de motivation figurant à l' art. 106 al. 2 LTF et qui concernent notamment les droits fondamentaux. Il y procède en se fondant sur les faits constatés par l'autorité précédente (cf. art. 105 al. 1 LTF ), à moins que ces faits n'aient été établis de façon manifestement inexacte - notion qui correspond à celle de l'arbitraire ( ATF 138 I 49 consid. 7.1 p. 51) - ou en violation du droit au sens de l' art. 95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(cf. ATF 136 II 101 consid. 3 p. 104).</w:t>
      </w:r>
    </w:p>
    <w:p>
      <w:r>
        <w:rPr>
          <w:b/>
        </w:rPr>
        <w:t>E. 4</w:t>
      </w:r>
    </w:p>
    <w:p>
      <w:r>
        <w:t>En substance, le recourant soutient que la responsabilité de la Confédération est engagée, d'une part, à raison d'actes de mobbing, et d'autre part, à raison d'irrégularités dans le cadre du processus de réorganisation mené par l'Office C.________ en 2005.</w:t>
      </w:r>
    </w:p>
    <w:p>
      <w:r>
        <w:rPr>
          <w:b/>
        </w:rPr>
        <w:t>E. 4.1</w:t>
      </w:r>
    </w:p>
    <w:p>
      <w:r>
        <w:t>On examinera tout d'abord ce qu'il en est de ses griefs de mobbing.</w:t>
      </w:r>
    </w:p>
    <w:p>
      <w:r>
        <w:rPr>
          <w:b/>
        </w:rPr>
        <w:t>E. 4.1.1</w:t>
      </w:r>
    </w:p>
    <w:p>
      <w:r>
        <w:t>Selon l'art. 4 al. 2 lettre g de la loi fédérale du 24 mars 2000 sur le personnel de la Confédération (LPers; RS 172.220.1), l'employeur met en oeuvre les mesures propres à assurer la protection de la personnalité et de la santé ainsi que la sécurité au travail de son personnel. Cette disposition prohibe les actes de harcèlement psychologique. Selon la définition donnée par la jurisprudence qui vaut pour les relations de travail fondées tant sur le droit privé que sur le droit public (arrêt 8C_358/2009 du 8 mars 2010 consid. 5.1), le harcèlement psychologique, communément appelé mobbing, se définit comme un enchaînement de propos et/ou d'agissements hostiles, répétés fréquemment pendant une période assez longue, par lesquels un ou plusieurs individus cherchent à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w:t>
      </w:r>
    </w:p>
    <w:p>
      <w:r>
        <w:rPr>
          <w:b/>
        </w:rPr>
        <w:t>E. 4.1.2</w:t>
      </w:r>
    </w:p>
    <w:p>
      <w:r>
        <w:t>La juridiction précédente a constaté que A.________ ne s'était pas formellement plaint de harcèlement psychologique avant l'intervention de son mandataire auprès du directeur de l'Office C.________ en septembre 2007, soit à une période proche de la résiliation de ses rapports de service (voir la lettre de son avocat du 24 septembre 2007). L'accord sur la fin des rapports de travail qui avait suivi ne contenait pas davantage d'indications sur les actes de mobbing que le recourant aurait endurés. Celui-ci s'était au contraire exprimé de manière positive sur ses nouvelles conditions de travail dans le formulaire d'entretien personnel du 10 octobre 2016 ("Il règne une grande volonté de collaboration mutuelle"; "Concernant mes relations entre les collaboratrices et collaborateurs de l'office [...], celle-ci est en majorité très bonne"; "En ce qui me concerne, la confiance que nous nous sommes portés [en parlant de son chef de section] jusqu'à maintenant est toujours de la même intensité... J'apprécie également sa disponibilité [...]"). Le seul indice concret dans le sens des allégations du recourant était un document daté du 2 septembre 2005 dans lequel deux collaborateurs, I.________ et J.________, rapportaient des propos dégradants et vexatoires tenus contre lui par K.________, alors suppléante du chef de la section procédure. Il n'était toutefois pas établi que ce comportement inadéquat s'était répété fréquemment pendant une période assez longue. Au demeurant, A.________ avait fait part de cet épisode à L.________, son supérieur hiérarchique de l'époque, en lui laissant le soin de prendre les mesures qu'il jugeait utiles. Les certificats médicaux qu'il avait produits faisaient certes état de signes somatiques et psychologiques apparus dès octobre 2005 en lien avec "des préoccupations professionnelles", d'un traitement médical prodigué dès avril 2006 en raison d'un état clinique aggravé ayant ensuite évolué en un état d'épuisement physique et psychique tel qu'une hospitalisation avait été rendue nécessaire en octobre 2006. Il ne faisait pas de doute que le recourant avait mal vécu la restructuration de l'Office C.________ et les conséquences qui en étaient résulté pour lui, qui avait vu sa situation professionnelle passer d'une fonction de cadre à responsabilité à celui de collaborateur malgré ses bons états de service. Que le recourant ait pu en ressentir une déception légitime était tout à fait compréhensible. Ses allégations de mobbing n'étaient toutefois pas crédibles, ou à tout le moins pas établies.</w:t>
      </w:r>
    </w:p>
    <w:p>
      <w:r>
        <w:rPr>
          <w:b/>
        </w:rPr>
        <w:t>E. 4.1.3</w:t>
      </w:r>
    </w:p>
    <w:p>
      <w:r>
        <w:t>Dans son écriture, le recourant se contente de présenter un récapitulatif des situations qu'il allègue avoir subi de la part K.________ ainsi que d'autres membres de la section procédure à partir de janvier 2005, et qu'il qualifie de mobbing. Dans la mesure toutefois où ces faits ne sont pas constatés dans le jugement entrepris et que le recourant ne soulève aucun grief d'arbitraire dans l'établissement des faits en relation avec les situations décrites, il s'agit là de simples affirmations dont on ne saurait tenir compte en instance fédérale (voir consid. 3 supra). Or sur la base des faits retenus par les juges précédents, on ne saurait leur reprocher d'avoir considéré que l'existence d'un mobbing n'avait pas été rendue vraisemblable par le recourant. D'une part, on ne peut que constater l'absence d'éléments probants concrets susceptibles de démontrer qu'il aurait vainement requis la mise en oeuvre de mesures de protection de la part de son ancien employeur avant de se trouver en incapacité de travail (le recourant ne saurait s'en prendre qu'à lui-même du fait qu'il n'a pas été possible à l'Office C.________ de récupérer ses courriels informatiques lorsqu'il en a fait la demande en 2011). D'autre part, si l'on peut penser que le climat d'incertitude découlant de la restructuration engagée par l'Office C.________ ait pu se traduire, chez certains cadres de la section procédure, par l'un ou l'autre comportement incorrect à l'endroit du recourant, tel l'épisode mettant en cause K.________, cela ne signifie pas encore qu'on se trouve en présence de manoeuvres concertées destinées à l'écarter ou à lui nuire professionnellement au sens de la définition du mobbing. En ce qui concerne plus particulièrement la période suivant son reclassement, le recourant expose que ses observations positives dans le formulaire d'entretien avaient un caractère complaisant car il était déjà fortement affecté dans sa santé par les effets du mobbing et l'absence de réaction de son employeur à ses plaintes. C'est là encore une allégation nouvelle et, partant, irrecevable qu'on ne peut prendre en considération. En définitive, sur le vu des faits établis, on doit nier que les griefs de mobbing du recourant engagent la responsabilité de la Confédération en application de la LRCF.</w:t>
      </w:r>
    </w:p>
    <w:p>
      <w:r>
        <w:rPr>
          <w:b/>
        </w:rPr>
        <w:t>E. 4.2</w:t>
      </w:r>
    </w:p>
    <w:p>
      <w:r>
        <w:t>Concernant la réorganisation de l'Office C.________, le recourant dénonce le procédé ayant consisté à lui signifier la suppression de son poste et à lui proposer la signature d'un accord, alors qu'en réalité celui-ci n'avait pas été supprimé mais remis au concours, ceci en violation de l'ordonnance du 10 juin 2004. Le recourant se plaint également d'un traitement inéquitable dans le cadre de sa postulation à la fonction de chef nouvellement ouverte dès lors que la hiérarchie n'avait pas jugé nécessaire qu'il termine l'assessment. Il y voit une procédure d'engagement biaisée. Enfin, il estime que l'Office C.________ n'avait pas rempli ses obligations en lui proposant un reclassement en qualité de collaborateur 1, cette fonction ne répondant manifestement pas à la définition d'un poste raisonnablement exigible vu ses précédentes responsabilités.</w:t>
      </w:r>
    </w:p>
    <w:p>
      <w:r>
        <w:rPr>
          <w:b/>
        </w:rPr>
        <w:t>E. 4.2.1</w:t>
      </w:r>
    </w:p>
    <w:p>
      <w:r>
        <w:t>En substance, l'instance précédente a considéré que du moment où le recourant avait signé l'accord qui lui avait été proposé en raison de la suppression de son poste, qu'il n'avait entrepris aucun démarche tendant à faire constater l'existence d'une irrégularité dans la procédure d'engagement pour le nouveau poste de chef auquel il avait postulé et que, finalement, il avait accepté son reclassement en qualité de collaborateur, il n'était plus légitimé à faire valoir des prétentions contre la Confédération du fait des dispositions prises par l'Office C.________ à son égard dans le cadre de la réorganisation en invoquant leur caractère illicite. Partant, même si la manière dont la restructuration avait été menée n'échappait pas à toute critique (voir le rapport de la Commission du personnel du 14 mars 2005 et le rapport d'activité 2005 du groupe pour l'égalité des chances dans l'Office C.________), les prétentions du recourant à ce titre devaient être rejetées.</w:t>
      </w:r>
    </w:p>
    <w:p>
      <w:r>
        <w:rPr>
          <w:b/>
        </w:rPr>
        <w:t>E. 4.2.2</w:t>
      </w:r>
    </w:p>
    <w:p>
      <w:r>
        <w:t>On doit d'emblée relever que le recourant ne prend nullement position sur ces considérations, si bien qu'il est douteux qu'il soit recevable à remettre en question cet aspect du jugement devant le Tribunal fédéral. Cela étant, ses griefs doivent de toute façon être écartés. L' art. 12 LRCF , aux termes duquel la légalité des décisions, d'arrêtés et de jugements ayant force de chose jugée ne peut pas être revue dans une procédure en responsabilité, consacre le principe de la primauté de la protection juridictionnelle par rapport à une procédure en responsabilité de l'Etat (ou principe de la protection juridique unique; Prinzip der Einmaligkeit des Rechtsschutzes). En pratique, ce principe oblige le destinataire d'une décision qu'il considère comme préjudiciable à ses intérêts à la contester immédiatement par la voie d'un recours, sous peine d'être ultérieurement déchu du droit d'agir en responsabilité contre la collectivité publique dont elle émane (FLORENCE AUBRY GIRARDIN, Responsabilité de l'Etat: un aperçu de la jurisprudence du Tribunal fédéral, in La responsabilité de l'Etat, Favre/Martenet/Poltier éds, 2012, p. 113 ss, 128; voir aussi ETIENNE POLTIER, La responsabilité de l'Etat pour acte illicite: l'exigence de l'illicéité, in ibidem, p. 45 ss, 62). Autrement dit, celui qui, sans succès, épuise les voies de droit contre une décision ou qui n'a pas utilisé tous les moyens de droit qui étaient à sa disposition n'est pas en droit de contester la licéité de cette décision (encore une fois) dans le procès en responsabilité ( ATF 126 I 144 consid. 2a p. 147; 119 Ib 208 consid. 3c p. 212). Or le recourant ayant donné son accord avec les modifications de son contrat de travail découlant des mesures de restructuration de l'Office C.________, il ne saurait donc en remettre en cause le caractère licite pour fonder une responsabilité sur la base de la LRCF. Il ne peut rien tirer non plus de la circonstance que son dossier de candidature a été examiné sans assessment, vu qu'il a renoncé à s'en plaindre. Quant à la réserve sur l'engagement d'une procédure en responsabilité figurant dans l'accord résiliant ses rapports de service, elle ne change rien au fait que les conditions légales pour engager cette responsabilité doivent être remplies.</w:t>
      </w:r>
    </w:p>
    <w:p>
      <w:r>
        <w:rPr>
          <w:b/>
        </w:rPr>
        <w:t>E. 4.2.3</w:t>
      </w:r>
    </w:p>
    <w:p>
      <w:r>
        <w:t>On peut encore ajouter que si la réorganisation de l'Office C.________ a donné lieu à de vives critiques - en particulier de la part de M.________, alors conseiller aux Etats fribourgeois -, la sous-commission du Département E.________, chargée par la Commission de gestion du Conseil National de rechercher les indices d'éventuelles lacunes dans la conduite du personnel de l'Office C.________, a considéré, après analyse des documents qui lui ont été remis, qu'il n'y avait pas matière à agir, et décidé de suspendre ses travaux lors d'une séance du 19 juin 2008 (voir la lettre du 15 avril 2015 de N.________ de la Commission de gestion du Conseil National, à O.________ de l'Assemblée fédérale [annexe 5 du dossier de l'instance précédente]; cf. également le rapport annuel 2006 des Commissions de gestion et de la Délégation des Commissions de gestion des Chambres fédérales dans la Feuille fédérale du 19 janvier 2007 [FF 2007 2867, 2940]). On peut donc écarter le reproche que la réorganisation de l'Office C.________ ait reposé sur une violation des dispositions de l'ordonnance du 10 juin 2014.</w:t>
      </w:r>
    </w:p>
    <w:p>
      <w:r>
        <w:rPr>
          <w:b/>
        </w:rPr>
        <w:t>E. 4.3</w:t>
      </w:r>
    </w:p>
    <w:p>
      <w:r>
        <w:t>Au vu de tout ce qui précède, le recours doit être rejeté.</w:t>
      </w:r>
    </w:p>
    <w:p>
      <w:r>
        <w:rPr>
          <w:b/>
        </w:rPr>
        <w:t>E. 5</w:t>
      </w:r>
    </w:p>
    <w:p>
      <w:r>
        <w:t>Le recourant,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