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397/2018 vom 30. November 2018</w:t>
      </w:r>
    </w:p>
    <w:p>
      <w:r>
        <w:t>Bundesgericht, 2018-11-30, FR</w:t>
      </w:r>
    </w:p>
    <w:p>
      <w:r>
        <w:rPr>
          <w:b/>
        </w:rPr>
        <w:t xml:space="preserve">Quelle: </w:t>
      </w:r>
      <w:r>
        <w:t>https://mcp.opencaselaw.ch/entscheid/bger_8C_397_2018</w:t>
      </w:r>
    </w:p>
    <w:p>
      <w:r>
        <w:t>FR: TF 8C 397/2018 du 30 novembre 2018</w:t>
      </w:r>
    </w:p>
    <w:p>
      <w:r>
        <w:t>IT: TF 8C 397/2018 del 30 novembre 2018</w:t>
      </w:r>
    </w:p>
    <w:p>
      <w:pPr>
        <w:pStyle w:val="Heading2"/>
      </w:pPr>
      <w:r>
        <w:t>Regeste</w:t>
      </w:r>
    </w:p>
    <w:p>
      <w:r>
        <w:t>Aide sociale (condition de recevabilité) | Santé &amp; sécurité sociale</w:t>
      </w:r>
    </w:p>
    <w:p>
      <w:pPr>
        <w:pStyle w:val="Heading2"/>
      </w:pPr>
      <w:r>
        <w:t>Erwägungen</w:t>
      </w:r>
    </w:p>
    <w:p>
      <w:r>
        <w:rPr>
          <w:b/>
        </w:rPr>
        <w:t>E. 1</w:t>
      </w:r>
    </w:p>
    <w:p>
      <w:r>
        <w:t>La cause est radiée du rôle par suite de retrait du recours.</w:t>
      </w:r>
    </w:p>
    <w:p>
      <w:r>
        <w:rPr>
          <w:b/>
        </w:rPr>
        <w:t>E. 2</w:t>
      </w:r>
    </w:p>
    <w:p>
      <w:r>
        <w:t>Il n'est pas perçu de frais judiciaires.</w:t>
      </w:r>
    </w:p>
    <w:p>
      <w:r>
        <w:rPr>
          <w:b/>
        </w:rPr>
        <w:t>E. 3</w:t>
      </w:r>
    </w:p>
    <w:p>
      <w:r>
        <w:t>La présente ordonnance est communiquée aux parties et à la Chambre administrative de la Cour de justice de la République et canton de Genève. Lucerne, 30 novembre 2018 Au nom de la Ire Cour de droit social du Tribunal fédéral suisse Le Juge unique : Frésard La Greffière : von Zwehl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