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8C_395/2021 vom 30. September 2021</w:t>
      </w:r>
    </w:p>
    <w:p>
      <w:r>
        <w:t>Bundesgericht, 2021-09-30, DE</w:t>
      </w:r>
    </w:p>
    <w:p>
      <w:r>
        <w:rPr>
          <w:b/>
        </w:rPr>
        <w:t xml:space="preserve">Quelle: </w:t>
      </w:r>
      <w:r>
        <w:t>https://mcp.opencaselaw.ch/entscheid/bger_8C_395_2021</w:t>
      </w:r>
    </w:p>
    <w:p>
      <w:r>
        <w:t>FR: TF 8C_395/2021 du 30 septembre 2021</w:t>
      </w:r>
    </w:p>
    <w:p>
      <w:r>
        <w:t>IT: TF 8C_395/2021 del 30 settembre 2021</w:t>
      </w:r>
    </w:p>
    <w:p>
      <w:pPr>
        <w:pStyle w:val="Heading2"/>
      </w:pPr>
      <w:r>
        <w:t>Erwägungen</w:t>
      </w:r>
    </w:p>
    <w:p>
      <w:r>
        <w:rPr>
          <w:b/>
        </w:rPr>
        <w:t>E. 1</w:t>
      </w:r>
    </w:p>
    <w:p>
      <w:r>
        <w:t>Das Bundesgericht prüft von Amtes wegen und mit freier Kognition, ob eine bei ihm eingereichte Beschwerde zulässig ist ( Art. 29 Abs. 1 BGG ; 145 I 121 E. 1; 143 III 140 E. 1; 141 III 395 E. 2.1).</w:t>
      </w:r>
    </w:p>
    <w:p>
      <w:r>
        <w:rPr>
          <w:b/>
        </w:rPr>
        <w:t>E. 1.1</w:t>
      </w:r>
    </w:p>
    <w:p>
      <w:r>
        <w:t>Die Beschwerde in öffentlich-rechtlichen Angelegenheiten ist zulässig gegen Endentscheide, welche das Verfahren abschliessen ( Art. 90 BGG ), und gegen Teilentscheide im Sinne von Art. 91 BGG . Gegen selbstständig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Urteil 4A_125/2020 vom 10. Dezember 2020 E. 1.3, nicht publ. in: BGE 147 III 139 ; je mit Hinweisen).</w:t>
      </w:r>
    </w:p>
    <w:p>
      <w:r>
        <w:rPr>
          <w:b/>
        </w:rPr>
        <w:t>E. 1.2</w:t>
      </w:r>
    </w:p>
    <w:p>
      <w:r>
        <w:t>Die selbstständige Anfechtbarkeit von Zwischenentscheiden bildet aus prozessökonomischen Gründen eine Ausnahme vom Grundsatz, dass sich das Bundesgericht mit jeder Angelegenheit nur einmal befassen soll ( BGE 144 III 475 E. 1.2; Urteil 4A_125/2020 vom 10. Dezember 2020 E. 1.3, nicht publ. in: BGE 147 III 139 ). Diese Ausnahme ist restriktiv zu handhaben ( BGE 144 III 475 E. 1.2; 138 III 94 E. 2.2). Dabei obliegt es der beschwerdeführenden Partei darzutun, dass die Voraussetzungen für eine ausnahmsweise Anfechtbarkeit eines Zwischenentscheids erfüllt sind, soweit deren Vorliegen nicht offensichtlich in die Augen springt ( BGE 142 V 26 E. 1.2; 141 III 80 E. 1.2).</w:t>
      </w:r>
    </w:p>
    <w:p>
      <w:r>
        <w:rPr>
          <w:b/>
        </w:rPr>
        <w:t>E. 2.1</w:t>
      </w:r>
    </w:p>
    <w:p>
      <w:r>
        <w:t>Angefochten ist vorliegend einzig die Entschädigungsregelung in Dispositiv-Ziffer 3 der vorinstanzlichen Verfügung vom 21. April 2021, mit welcher das Beschwerdeverfahren zufolge Gegenstandslosigkeit abgeschrieben wurde.</w:t>
      </w:r>
    </w:p>
    <w:p>
      <w:r>
        <w:rPr>
          <w:b/>
        </w:rPr>
        <w:t>E. 2.2</w:t>
      </w:r>
    </w:p>
    <w:p>
      <w:r>
        <w:t>Im Zusammenhang mit Rückweisungsentscheiden hat das Bundesgericht erkannt, dass solche grundsätzlich keinen Endentscheid im Sinne von Art. 90 BGG darstellen, sondern einen Zwischenentscheid, der nur unter den Voraussetzungen des Art. 93 Abs. 1 BGG angefochten werden kann ( BGE 144 V 280 E. 1.2; 142 V 551 E. 3.2; je mit Hinweisen). Ein Zwischenentscheid liegt nach der Rechtsprechung sodann auch vor, wenn die Vorinstanz des Bundesgerichts im Rahmen eines Rückweisungsentscheids über die Kostenfolgen befindet ( BGE 142 V 551 E. 3.2; 139 V 604 E. 3.2; 135 III 329 E. 1; 133 V 645 E. 2). Ein derartiger Zwischenentscheid verursacht ebenfalls keinen nicht wieder gutzumachenden Nachteil im Sinne von Art. 93 Abs. 1 lit. a BGG , weil der Kostenentscheid im Nachgang zu dem auf Grund des Rückweisungsentscheids neu ergehenden Endentscheid in der Sache angefochten werden kann ( Art. 93 Abs. 3 BGG ; BGE 142 V 551 E. 3.2; 135 III 329 E. 1; 133 V 645 E. 2). Wird die von der unteren Instanz auf Grund des Rückweisungsentscheids erlassene neue Verfügung in der Sache nicht mehr angefochten, kann direkt im Anschluss an diese neue Verfügung die Kostenregelung im Rückweisungsentscheid innert der Beschwerdefrist von Art. 100 BGG beim Bundesgericht angefochten werden ( BGE 142 V 551 E. 3.2; 137 V 57 E. 1.1; 135 III 329 E. 1.2.2; 133 V 645 E. 2.2). Fristauslösend ist das Eröffnungs- bzw. Zustelldatum der neuen unterinstanzlichen Verfügung ( BGE 142 V 551 E. 3.3.2).</w:t>
      </w:r>
    </w:p>
    <w:p>
      <w:r>
        <w:rPr>
          <w:b/>
        </w:rPr>
        <w:t>E. 2.3</w:t>
      </w:r>
    </w:p>
    <w:p>
      <w:r>
        <w:t>Nichts anderes kann gelten, wenn kein Rückweisungsentscheid ergeht, sondern der Versicherungsträger - wie vorliegend - einen Einspracheentscheid, gegen den Beschwerde erhoben wurde, lite pendente in Wiedererwägung zieht ( Art. 53 Abs. 3 ATSG ), um den rechtserheblichen Sachverhalt weiter abzuklären und anschliessend neu über den Leistungsanspruch des Versicherten zu entscheiden. Schreibt die "Beschwerdebehörde" das Verfahren in der Folge als gegenstandslos ab, handelt es sich bei der entsprechenden Verfügung mithin nicht um einen End-, sondern um einen Zwischenentscheid im Sinne von Art. 93 BGG . Auch hinsichtlich der Parteientschädigung in Dispositiv-Ziffer 3 der vorinstanzlichen Abschreibungsverfügung vom 21. April 2021 kommen somit die dargelegten Grundsätze über die Anfechtung der in einem Zwischenentscheid enthaltenen Kostenregelungen (E. 2.2 hiervor) zur Anwendung. In der unrichtigen Annahme, es liege ein Endentscheid vor, legt der Beschwerdeführer nicht dar, inwiefern ihm durch die angefochtene Verfügung ein nicht wieder gutzumachender Nachteil erwachsen könnte (vgl. E. 1.2 hiervor). Ein solcher ist auch nicht ersichtlich: Die mit der Rückweisung verbundene Verfahrensverlängerung genügt hier nicht (vgl. E. 1.1), abgesehen davon, dass sich der Beschwerdeführer in dieser Hinsicht schon vor Vorinstanz dem Antrag der Verwaltung angeschlossen hat. Was den strittigen Entschädigungsentscheid betrifft, wird er diesen im Nachgang zu dem auf Grund der Wiedererwägung neu ergehenden Endentscheid in der Sache anfechten können ( Art. 93 Abs. 3 BGG ). Für den Fall, dass die Arbeitslosenkasse in der Hauptsache vollumfänglich zu Gunsten des Beschwerdeführers entscheiden sollte, wird er die Entschädigungsregelung direkt ab Eröffnung respektive Zustellung des Endentscheids mit ordentlicher Beschwerde beim Bundesgericht anfechten können ( BGE 142 II 363 E. 1.3). Nach dem Gesagten ist der in Dispositiv-Ziffer 3 der angefochtenen Abschreibungsverfügung enthaltene Nebenpunkt über die reduzierte Parteientschädigung nicht geeignet, einen nicht wieder gutzumachenden Nachteil im Sinne von Art. 93 Abs. 1 lit. a BGG zu bewirken. Die Variante gemäss Art. 93 Abs. 1 lit. b BGG fällt hier im Übrigen ausser Betracht. Auf die Beschwerde ist daher nicht einzutreten.</w:t>
      </w:r>
    </w:p>
    <w:p>
      <w:r>
        <w:rPr>
          <w:b/>
        </w:rPr>
        <w:t>E. 3</w:t>
      </w:r>
    </w:p>
    <w:p>
      <w:r>
        <w:t>Dem Verfahrensausgang entsprechend sind die Gerichtskosten dem unterliegenden Beschwerdeführer aufzuerlegen ( Art. 66 Abs. 1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