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393/2020 vom 21. September 2020</w:t>
      </w:r>
    </w:p>
    <w:p>
      <w:r>
        <w:t>Bundesgericht, 2020-09-21, DE</w:t>
      </w:r>
    </w:p>
    <w:p>
      <w:r>
        <w:rPr>
          <w:b/>
        </w:rPr>
        <w:t xml:space="preserve">Quelle: </w:t>
      </w:r>
      <w:r>
        <w:t>https://mcp.opencaselaw.ch/entscheid/bger_8C_393_2020</w:t>
      </w:r>
    </w:p>
    <w:p>
      <w:r>
        <w:t>FR: TF 8C 393/2020 du 21 septembre 2020</w:t>
      </w:r>
    </w:p>
    <w:p>
      <w:r>
        <w:t>IT: TF 8C 393/2020 del 21 settembre 2020</w:t>
      </w:r>
    </w:p>
    <w:p>
      <w:pPr>
        <w:pStyle w:val="Heading2"/>
      </w:pPr>
      <w:r>
        <w:t>Regeste</w:t>
      </w:r>
    </w:p>
    <w:p>
      <w:r>
        <w:t>Invalidenversicherung (Invalidenrente; Abzug)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bei der Ermittlung des Invaliditätsgrades die Gewährung eines leidensbedingten Abzugs in der Höhe von 15 % durch die Vorinstanz bundesrechtskonform ist.</w:t>
      </w:r>
    </w:p>
    <w:p>
      <w:r>
        <w:rPr>
          <w:b/>
        </w:rPr>
        <w:t>E. 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S. 19 mit Hinweisen). Unter dem Titel des leidensbedingten Abzugs können grundsätzlich nur Umstände berücksichtigt werden, die auch auf dem ausgeglichenen Arbeitsmarkt als ausserordentlich zu bezeichnen sind; dementsprechend kann in der Regel eine psychisch bedingt verstärkte Rücksichtnahme seitens Vorgesetzter und Arbeitskollegen nicht als eigenständiger Abzugsgrund anerkannt werden (Urteile 8C_297/2018 vom 6. Juli 2018 E. 3.5, 9C_826/2015 vom 13. April 2016 E. 3.2.1 und 9C_366/2015 vom 22. September 2015 E. 4.3.1).</w:t>
      </w:r>
    </w:p>
    <w:p>
      <w:r>
        <w:rPr>
          <w:b/>
        </w:rPr>
        <w:t>E. 3.2</w:t>
      </w:r>
    </w:p>
    <w:p>
      <w:r>
        <w:t>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 S. 20 mit Hinweisen).</w:t>
      </w:r>
    </w:p>
    <w:p>
      <w:r>
        <w:rPr>
          <w:b/>
        </w:rPr>
        <w:t>E. 4.1</w:t>
      </w:r>
    </w:p>
    <w:p>
      <w:r>
        <w:t>Die IV-Stelle verneinte in ihrer Verfügung vom 17. Januar 2020 die Voraussetzungen zur Berücksichtigung eines leidensbedingten Abzugs. Die Vorinstanz hat einen leidensbedingten Abzug von 15 % gewährt, welchen sie mit den erheblichen Abnutzungserscheinungen an der Wirbelsäule und der dadurch bedingten Zumutbarkeit einer bloss noch leichten Tätigkeit und mit der Aufteilung des zumutbaren Pensums auf zweimal drei Stunden täglich sowie mit der psychischen Angeschlagenheit des Versicherten und seinen bescheidenen Ressourcen begründete.</w:t>
      </w:r>
    </w:p>
    <w:p>
      <w:r>
        <w:rPr>
          <w:b/>
        </w:rPr>
        <w:t>E. 4.2</w:t>
      </w:r>
    </w:p>
    <w:p>
      <w:r>
        <w:t>Die Gutachter haben bei den die Arbeitsfähigkeit einschränkenden Diagnosen explizit mehrsegmentale fortgeschrittene generalisierte degenerative Veränderungen an der Halswirbelsäule festgehalten sowie bei der Formulierung des zumutbaren Tätigkeitsprofils angesichts der seit 2008 eingetretenen Verschlechterung im HWS-Bereich eine verminderte Belastbarkeit in einer leichten leidensadaptierten Tätigkeit und ein zumutbares Arbeitspensum von 70 % attestiert. Insofern stellen die Abnutzungserscheinungen an der Wirbelsäule keinen Umstand dar, der zu einem Abzug berechtigen würde, da diese bereits bei der Bestimmung der zumutbaren Tätigkeit miteinbezogen worden waren (vgl. statt vieler BGE 146 V 16 E. 4.1 S. 19 und die Urteile 8C_98/2020 vom 16. April 2020 E. 5.4 sowie 8C_586/2019 vom 24. Januar 2020 E. 5.3.2). Auch der Umstand, dass dem Versicherten lediglich noch leichte Tätigkeiten zumutbar sind, ist praxisgemäss kein Grund für einen leidensbedingten Abzug (Urteil 8C_586/2019 vom 24. Januar 2020 E. 5.3.1 mit Hinweisen). Weiter ist die blosse Empfehlung des rheumatologischen Gutachters, die zumutbare Arbeitszeit sei idealerweise auf zweimal drei Stunden täglich aufzuteilen, kein Umstand, der eine leidensbedingte Einschränkung darstellen würde und beim leidensbedingten Abzug zu berücksichtigen wäre. Denn die Vorinstanz legt nicht dar und es ist auch nicht ersichtlich, weshalb damit zu rechnen wäre, dass die Befolgung dieser Empfehlung zu einer mit unterdurchschnittlichem Erfolg verbundenen Verwertung der Restarbeitsfähigkeit führen sollte. Auch die von der Vorinstanz erwähnte psychische Angeschlagenheit des Versicherten und die angeführten bescheidenen Ressourcen können keinen leidensbedingten Abzug rechtfertigen. Denn wie die IV-Stelle zu Recht darauf hinweist, mass der psychiatrische Gutachter der attestierten leichten depressiven Störung explizit keinen Einfluss auf die Arbeitsfähigkeit bei und stellte aus psychiatrischer Sicht keine wesentlichen Beeinträchtigungen im Alltag ("in den Aktivitäten") fest. Weiter führte er aus, der Versicherte könne sowohl die bisherige als auch eine angepasste Tätigkeit vollumfänglich ausüben, aus psychischen Gründen ergebe sich keine Einschränkung. Wie in E. 3.1 dargelegt, stellt nach der Rechtsprechung eine allenfalls notwendige verstärkte Rücksichtnahme seitens der Vorgesetzten und Mitarbeiter aus psychischen Gründen keinen eigenständigen Abzugsgrund dar. Schliesslich führt auch der Einwand des Versicherten, er sei bereits 57 Jahre alt, zu keinem leidensbedingten Abzug. Denn im Bereich der Hilfsarbeiten stellt auf dem hypothetischen ausgeglichenen Arbeitsmarkt ( Art. 16 ATSG ), wo sich ein fortgeschrittenes Alter nicht zwingend lohnsenkend auswirken muss und Hilfsarbeiten altersunabhängig nachgefragt werden ( BGE 146 V 16 E. 7.2.1 S. 26 mit Hinweisen), das Alter des Versicherten keinen Grund dar, der einen leidensbedingten Abzug zu rechtfertigen vermöchte. Dies gilt umso mehr, als ihm noch eine breite Palette von Hilfsarbeiten zumutbar ist und er nicht darlegt, inwiefern sich sein Alter konkret negativ auf die Verwertbarkeit seiner Restarbeitsfähigkeit auswirken sollte.</w:t>
      </w:r>
    </w:p>
    <w:p>
      <w:r>
        <w:rPr>
          <w:b/>
        </w:rPr>
        <w:t>E. 4.3</w:t>
      </w:r>
    </w:p>
    <w:p>
      <w:r>
        <w:t>Nach dem Gesagten liegen keine Umstände vor, die einen leidensbedingten Abzug zu begründen vermöchten. Der vorinstanzlich gewährte Abzug von 15 % ist folglich bundesrechtswidrig und das massgebende Invalideneinkommen beträgt Fr. 47'137.-. Da im Übrigen keine Einwände gegen die Invaliditätsbemessung vorgebracht werden, hat es angesichts des vorinstanzlich ermittelten Valideneinkommens von Fr. 68'791.- und dem gestützt darauf berechneten nicht rentenbegründenden Invaliditätsgrad von 32 % sein Bewenden (vgl. auch die Verfügung vom 17. Januar 2020).</w:t>
      </w:r>
    </w:p>
    <w:p>
      <w:r>
        <w:rPr>
          <w:b/>
        </w:rPr>
        <w:t>E. 5</w:t>
      </w:r>
    </w:p>
    <w:p>
      <w:r>
        <w:t>Mit dem Entscheid in der Sache wird das Gesuch der IV-Stelle um aufschiebende Wirkung gegenstandslos.</w:t>
      </w:r>
    </w:p>
    <w:p>
      <w:r>
        <w:rPr>
          <w:b/>
        </w:rPr>
        <w:t>E. 6</w:t>
      </w:r>
    </w:p>
    <w:p>
      <w:r>
        <w:t>Das Verfahren ist kostenpflichtig. Der unterliegende Versicherte hat die Gerichtskosten zu tragen ( Art. 66 Abs. 1 BGG ). Er hat jedoch um unentgeltliche Rechtspflege und Verbeiständung ersucht. Seine Anträge sind angesichts seiner prozessualen Stellung als Beschwerdegegner nicht als aussichtslos zu bezeichnen (Urteil 8C_793/2016 vom 15. September 2017 E. 9 sowie Thomas Geiser, Basler Kommentar, Bundesgerichtsgesetz, 3. Aufl. 2018, N. 22 zu Art. 64 BGG ); da auch seine Bedürftigkeit ausgewiesen ist, wird ihm die unentgeltliche Rechtspflege gewährt ( Art. 64 Abs. 1 und 2 BGG ). Somit werden die Gerichtskosten vorläufig auf die Bundesgerichtskasse genommen und seinem Anwalt eine Entschädigung aus der Bundesgerichtskasse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